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3F2" w:rsidRDefault="00DF53F2">
      <w:pPr>
        <w:pStyle w:val="Title"/>
        <w:rPr>
          <w:rFonts w:ascii="Verdana" w:hAnsi="Verdana"/>
          <w:smallCaps/>
        </w:rPr>
      </w:pPr>
      <w:bookmarkStart w:id="0" w:name="_GoBack"/>
      <w:bookmarkEnd w:id="0"/>
      <w:r>
        <w:rPr>
          <w:rFonts w:ascii="Verdana" w:hAnsi="Verdana"/>
          <w:smallCaps/>
        </w:rPr>
        <w:t xml:space="preserve">Timeline for Handling a Complaint or Appeal </w:t>
      </w:r>
    </w:p>
    <w:p w:rsidR="00DF53F2" w:rsidRDefault="00DF53F2">
      <w:pPr>
        <w:pStyle w:val="Title"/>
        <w:rPr>
          <w:rFonts w:ascii="Verdana" w:hAnsi="Verdana"/>
          <w:smallCaps/>
        </w:rPr>
      </w:pPr>
      <w:r>
        <w:rPr>
          <w:rFonts w:ascii="Verdana" w:hAnsi="Verdana"/>
          <w:smallCaps/>
        </w:rPr>
        <w:t>Arising from a Presbytery</w:t>
      </w:r>
    </w:p>
    <w:p w:rsidR="00DF53F2" w:rsidRDefault="00DF53F2">
      <w:pPr>
        <w:jc w:val="center"/>
        <w:rPr>
          <w:rStyle w:val="emailstyle15"/>
          <w:rFonts w:ascii="Verdana" w:hAnsi="Verdana"/>
        </w:rPr>
      </w:pPr>
    </w:p>
    <w:p w:rsidR="00DF53F2" w:rsidRDefault="00DF53F2">
      <w:pPr>
        <w:rPr>
          <w:rStyle w:val="emailstyle15"/>
          <w:rFonts w:ascii="Verdana" w:hAnsi="Verdana"/>
          <w:sz w:val="20"/>
        </w:rPr>
      </w:pPr>
    </w:p>
    <w:p w:rsidR="00DF53F2" w:rsidRDefault="00DF53F2" w:rsidP="000E6BC3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Cases are filed with both the Stated Clerk of the Presbytery and the Stated Clerk of the General Assembly within thirty days of t</w:t>
      </w:r>
      <w:r w:rsidR="008A3215">
        <w:rPr>
          <w:rStyle w:val="emailstyle15"/>
          <w:rFonts w:ascii="Verdana" w:hAnsi="Verdana"/>
          <w:sz w:val="20"/>
        </w:rPr>
        <w:t>he action of Presbytery (BCO 42.4; 43.</w:t>
      </w:r>
      <w:r>
        <w:rPr>
          <w:rStyle w:val="emailstyle15"/>
          <w:rFonts w:ascii="Verdana" w:hAnsi="Verdana"/>
          <w:sz w:val="20"/>
        </w:rPr>
        <w:t>3).</w:t>
      </w:r>
    </w:p>
    <w:p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 xml:space="preserve">Upon receipt of the complaint or appeal, the Stated Clerk of the General Assembly requests the Record of the Case (ROC) from the Stated Clerk of the Presbytery (BCO </w:t>
      </w:r>
      <w:r w:rsidR="008A3215">
        <w:rPr>
          <w:rStyle w:val="emailstyle15"/>
          <w:rFonts w:ascii="Verdana" w:hAnsi="Verdana"/>
          <w:sz w:val="20"/>
        </w:rPr>
        <w:t xml:space="preserve">32.18-19; 35.7-8; </w:t>
      </w:r>
      <w:r>
        <w:rPr>
          <w:rStyle w:val="emailstyle15"/>
          <w:rFonts w:ascii="Verdana" w:hAnsi="Verdana"/>
          <w:sz w:val="20"/>
        </w:rPr>
        <w:t>42</w:t>
      </w:r>
      <w:r w:rsidR="008A3215">
        <w:rPr>
          <w:rStyle w:val="emailstyle15"/>
          <w:rFonts w:ascii="Verdana" w:hAnsi="Verdana"/>
          <w:sz w:val="20"/>
        </w:rPr>
        <w:t>.</w:t>
      </w:r>
      <w:r>
        <w:rPr>
          <w:rStyle w:val="emailstyle15"/>
          <w:rFonts w:ascii="Verdana" w:hAnsi="Verdana"/>
          <w:sz w:val="20"/>
        </w:rPr>
        <w:t xml:space="preserve">5; </w:t>
      </w:r>
      <w:r w:rsidR="008A3215">
        <w:rPr>
          <w:rStyle w:val="emailstyle15"/>
          <w:rFonts w:ascii="Verdana" w:hAnsi="Verdana"/>
          <w:sz w:val="20"/>
        </w:rPr>
        <w:t>43.5-</w:t>
      </w:r>
      <w:r>
        <w:rPr>
          <w:rStyle w:val="emailstyle15"/>
          <w:rFonts w:ascii="Verdana" w:hAnsi="Verdana"/>
          <w:sz w:val="20"/>
        </w:rPr>
        <w:t xml:space="preserve">6; </w:t>
      </w:r>
      <w:r w:rsidR="008A3215">
        <w:rPr>
          <w:rStyle w:val="emailstyle15"/>
          <w:rFonts w:ascii="Verdana" w:hAnsi="Verdana"/>
          <w:sz w:val="20"/>
        </w:rPr>
        <w:t xml:space="preserve">Operating Manual of the </w:t>
      </w:r>
      <w:r>
        <w:rPr>
          <w:rStyle w:val="emailstyle15"/>
          <w:rFonts w:ascii="Verdana" w:hAnsi="Verdana"/>
          <w:sz w:val="20"/>
        </w:rPr>
        <w:t>SJC [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>] §</w:t>
      </w:r>
      <w:r w:rsidR="000E6BC3">
        <w:rPr>
          <w:rStyle w:val="emailstyle15"/>
          <w:rFonts w:ascii="Verdana" w:hAnsi="Verdana"/>
          <w:sz w:val="20"/>
        </w:rPr>
        <w:t>7</w:t>
      </w:r>
      <w:r>
        <w:rPr>
          <w:rStyle w:val="emailstyle15"/>
          <w:rFonts w:ascii="Verdana" w:hAnsi="Verdana"/>
          <w:sz w:val="20"/>
        </w:rPr>
        <w:t>).</w:t>
      </w:r>
    </w:p>
    <w:p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The Stated Clerk of Presbytery has thirty days in which to submit the ROC.</w:t>
      </w:r>
    </w:p>
    <w:p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Upon receipt of the ROC, the Stated Clerk of the General Assembly submits the ROC to the officers of the Standing Judicial Commission (SJC) for a determination on whether the case is administratively in order,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9</w:t>
      </w:r>
      <w:r>
        <w:rPr>
          <w:rStyle w:val="emailstyle15"/>
          <w:rFonts w:ascii="Verdana" w:hAnsi="Verdana"/>
          <w:sz w:val="20"/>
        </w:rPr>
        <w:t>.1</w:t>
      </w:r>
      <w:r w:rsidR="008A3215">
        <w:rPr>
          <w:rStyle w:val="emailstyle15"/>
          <w:rFonts w:ascii="Verdana" w:hAnsi="Verdana"/>
          <w:sz w:val="20"/>
        </w:rPr>
        <w:t>a, 3, 5</w:t>
      </w:r>
      <w:r>
        <w:rPr>
          <w:rStyle w:val="emailstyle15"/>
          <w:rFonts w:ascii="Verdana" w:hAnsi="Verdana"/>
          <w:sz w:val="20"/>
        </w:rPr>
        <w:t xml:space="preserve">).  There </w:t>
      </w:r>
      <w:r w:rsidR="008A3215">
        <w:rPr>
          <w:rStyle w:val="emailstyle15"/>
          <w:rFonts w:ascii="Verdana" w:hAnsi="Verdana"/>
          <w:sz w:val="20"/>
        </w:rPr>
        <w:t xml:space="preserve">is </w:t>
      </w:r>
      <w:r>
        <w:rPr>
          <w:rStyle w:val="emailstyle15"/>
          <w:rFonts w:ascii="Verdana" w:hAnsi="Verdana"/>
          <w:sz w:val="20"/>
        </w:rPr>
        <w:t>no exact time frame specified in the SCJM for how long the SJC officers have to take action.</w:t>
      </w:r>
    </w:p>
    <w:p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If the case is not administratively in order, parties have thirty days to put it in order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9</w:t>
      </w:r>
      <w:r>
        <w:rPr>
          <w:rStyle w:val="emailstyle15"/>
          <w:rFonts w:ascii="Verdana" w:hAnsi="Verdana"/>
          <w:sz w:val="20"/>
        </w:rPr>
        <w:t>.2).</w:t>
      </w:r>
    </w:p>
    <w:p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If the case is determined by the officers to be administratively in order, it is assigned to a judicial panel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9</w:t>
      </w:r>
      <w:r>
        <w:rPr>
          <w:rStyle w:val="emailstyle15"/>
          <w:rFonts w:ascii="Verdana" w:hAnsi="Verdana"/>
          <w:sz w:val="20"/>
        </w:rPr>
        <w:t xml:space="preserve">.5,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 xml:space="preserve">.1,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 xml:space="preserve">.2,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.3</w:t>
      </w:r>
      <w:r w:rsidR="008A3215">
        <w:rPr>
          <w:rStyle w:val="emailstyle15"/>
          <w:rFonts w:ascii="Verdana" w:hAnsi="Verdana"/>
          <w:sz w:val="20"/>
        </w:rPr>
        <w:t>; RAO 17.3</w:t>
      </w:r>
      <w:r>
        <w:rPr>
          <w:rStyle w:val="emailstyle15"/>
          <w:rFonts w:ascii="Verdana" w:hAnsi="Verdana"/>
          <w:sz w:val="20"/>
        </w:rPr>
        <w:t>).</w:t>
      </w:r>
    </w:p>
    <w:p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Within ten days of receiving the ROC, the panel has an initial meeting to organize itself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.4).</w:t>
      </w:r>
    </w:p>
    <w:p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Within thirty days of receiving the ROC, the panel determines if the case is judicially in order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.5).</w:t>
      </w:r>
    </w:p>
    <w:p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Disputes over the ROC may take f</w:t>
      </w:r>
      <w:r w:rsidR="000E6BC3">
        <w:rPr>
          <w:rStyle w:val="emailstyle15"/>
          <w:rFonts w:ascii="Verdana" w:hAnsi="Verdana"/>
          <w:sz w:val="20"/>
        </w:rPr>
        <w:t>ifty-five days or longer (</w:t>
      </w:r>
      <w:r w:rsidR="008A3215">
        <w:rPr>
          <w:rStyle w:val="emailstyle15"/>
          <w:rFonts w:ascii="Verdana" w:hAnsi="Verdana"/>
          <w:sz w:val="20"/>
        </w:rPr>
        <w:t>OMSJC</w:t>
      </w:r>
      <w:r w:rsidR="000E6BC3">
        <w:rPr>
          <w:rStyle w:val="emailstyle15"/>
          <w:rFonts w:ascii="Verdana" w:hAnsi="Verdana"/>
          <w:sz w:val="20"/>
        </w:rPr>
        <w:t xml:space="preserve"> 7</w:t>
      </w:r>
      <w:r>
        <w:rPr>
          <w:rStyle w:val="emailstyle15"/>
          <w:rFonts w:ascii="Verdana" w:hAnsi="Verdana"/>
          <w:sz w:val="20"/>
        </w:rPr>
        <w:t>.4).</w:t>
      </w:r>
    </w:p>
    <w:p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If the case is not judicially in order, the parties have thirty days to put the case in order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.6).</w:t>
      </w:r>
    </w:p>
    <w:p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 xml:space="preserve">If the case is judicially in order, </w:t>
      </w:r>
      <w:proofErr w:type="gramStart"/>
      <w:r>
        <w:rPr>
          <w:rStyle w:val="emailstyle15"/>
          <w:rFonts w:ascii="Verdana" w:hAnsi="Verdana"/>
          <w:sz w:val="20"/>
        </w:rPr>
        <w:t>forty-days</w:t>
      </w:r>
      <w:proofErr w:type="gramEnd"/>
      <w:r>
        <w:rPr>
          <w:rStyle w:val="emailstyle15"/>
          <w:rFonts w:ascii="Verdana" w:hAnsi="Verdana"/>
          <w:sz w:val="20"/>
        </w:rPr>
        <w:t xml:space="preserve"> notice is given to the parties for a date of a hearing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.7).  But the forty-day period may be decreased if both parties agree in writing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.7).  Within the forty-day period prior to the hearing, briefs are filed in accordance by the deadlines specified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10.7 and § 8</w:t>
      </w:r>
      <w:r>
        <w:rPr>
          <w:rStyle w:val="emailstyle15"/>
          <w:rFonts w:ascii="Verdana" w:hAnsi="Verdana"/>
          <w:sz w:val="20"/>
        </w:rPr>
        <w:t>).</w:t>
      </w:r>
    </w:p>
    <w:p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The hearing may be either, 1) in person, 2) via telephone conference call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.7.a) if all parties and panel members agree, or 3) by written brief (BCO 42-11; 43-7) with a party giving written notice to do so.</w:t>
      </w:r>
    </w:p>
    <w:p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 xml:space="preserve">The panel has </w:t>
      </w:r>
      <w:r w:rsidR="008A3215">
        <w:rPr>
          <w:rStyle w:val="emailstyle15"/>
          <w:rFonts w:ascii="Verdana" w:hAnsi="Verdana"/>
          <w:sz w:val="20"/>
        </w:rPr>
        <w:t>forty</w:t>
      </w:r>
      <w:r>
        <w:rPr>
          <w:rStyle w:val="emailstyle15"/>
          <w:rFonts w:ascii="Verdana" w:hAnsi="Verdana"/>
          <w:sz w:val="20"/>
        </w:rPr>
        <w:t xml:space="preserve"> days after the hearing within which to render proposed and recommended decision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 xml:space="preserve">.10,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.11).</w:t>
      </w:r>
    </w:p>
    <w:p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Upon receipt of the proposed and recommended decision, the Stated Clerk immediate</w:t>
      </w:r>
      <w:r w:rsidR="000E6BC3">
        <w:rPr>
          <w:rStyle w:val="emailstyle15"/>
          <w:rFonts w:ascii="Verdana" w:hAnsi="Verdana"/>
          <w:sz w:val="20"/>
        </w:rPr>
        <w:t xml:space="preserve">ly </w:t>
      </w:r>
      <w:proofErr w:type="gramStart"/>
      <w:r w:rsidR="000E6BC3">
        <w:rPr>
          <w:rStyle w:val="emailstyle15"/>
          <w:rFonts w:ascii="Verdana" w:hAnsi="Verdana"/>
          <w:sz w:val="20"/>
        </w:rPr>
        <w:t>sends</w:t>
      </w:r>
      <w:proofErr w:type="gramEnd"/>
      <w:r w:rsidR="000E6BC3">
        <w:rPr>
          <w:rStyle w:val="emailstyle15"/>
          <w:rFonts w:ascii="Verdana" w:hAnsi="Verdana"/>
          <w:sz w:val="20"/>
        </w:rPr>
        <w:t xml:space="preserve"> a copy to the parties </w:t>
      </w:r>
      <w:r>
        <w:rPr>
          <w:rStyle w:val="emailstyle15"/>
          <w:rFonts w:ascii="Verdana" w:hAnsi="Verdana"/>
          <w:sz w:val="20"/>
        </w:rPr>
        <w:t>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.11).</w:t>
      </w:r>
    </w:p>
    <w:p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The case may either be reheard by the entire SJC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9</w:t>
      </w:r>
      <w:r>
        <w:rPr>
          <w:rStyle w:val="emailstyle15"/>
          <w:rFonts w:ascii="Verdana" w:hAnsi="Verdana"/>
          <w:sz w:val="20"/>
        </w:rPr>
        <w:t xml:space="preserve">.3, § </w:t>
      </w:r>
      <w:r w:rsidR="000E6BC3">
        <w:rPr>
          <w:rStyle w:val="emailstyle15"/>
          <w:rFonts w:ascii="Verdana" w:hAnsi="Verdana"/>
          <w:sz w:val="20"/>
        </w:rPr>
        <w:t>11</w:t>
      </w:r>
      <w:r w:rsidR="00C27359">
        <w:rPr>
          <w:rStyle w:val="emailstyle15"/>
          <w:rFonts w:ascii="Verdana" w:hAnsi="Verdana"/>
          <w:sz w:val="20"/>
        </w:rPr>
        <w:t>, 17.7</w:t>
      </w:r>
      <w:r>
        <w:rPr>
          <w:rStyle w:val="emailstyle15"/>
          <w:rFonts w:ascii="Verdana" w:hAnsi="Verdana"/>
          <w:sz w:val="20"/>
        </w:rPr>
        <w:t>) or reviewed by the full SJC for final action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17</w:t>
      </w:r>
      <w:r>
        <w:rPr>
          <w:rStyle w:val="emailstyle15"/>
          <w:rFonts w:ascii="Verdana" w:hAnsi="Verdana"/>
          <w:sz w:val="20"/>
        </w:rPr>
        <w:t xml:space="preserve">.8) at its optional fall meeting (during third week of October) or its mandatory spring meeting (during the first week of March, 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4</w:t>
      </w:r>
      <w:r>
        <w:rPr>
          <w:rStyle w:val="emailstyle15"/>
          <w:rFonts w:ascii="Verdana" w:hAnsi="Verdana"/>
          <w:sz w:val="20"/>
        </w:rPr>
        <w:t>.1).</w:t>
      </w:r>
    </w:p>
    <w:p w:rsidR="00DF53F2" w:rsidRDefault="00DF53F2">
      <w:pPr>
        <w:tabs>
          <w:tab w:val="num" w:pos="900"/>
        </w:tabs>
        <w:spacing w:after="120"/>
        <w:ind w:left="900" w:hanging="540"/>
        <w:jc w:val="both"/>
        <w:rPr>
          <w:rStyle w:val="emailstyle15"/>
          <w:rFonts w:ascii="Verdana" w:hAnsi="Verdana"/>
          <w:sz w:val="20"/>
        </w:rPr>
      </w:pPr>
    </w:p>
    <w:p w:rsidR="00DF53F2" w:rsidRDefault="00DF53F2">
      <w:pPr>
        <w:pStyle w:val="BodyTextIndent"/>
      </w:pPr>
      <w:r>
        <w:br w:type="page"/>
      </w:r>
      <w:r>
        <w:lastRenderedPageBreak/>
        <w:t>There are several ways a case could be delayed by either or both parties.  But there are several ways the cases could be expedited toward a proposed and recommended decision by a judicial panel.</w:t>
      </w:r>
    </w:p>
    <w:p w:rsidR="00DF53F2" w:rsidRDefault="00DF53F2">
      <w:pPr>
        <w:tabs>
          <w:tab w:val="num" w:pos="360"/>
        </w:tabs>
        <w:spacing w:after="120"/>
        <w:ind w:left="360"/>
        <w:jc w:val="both"/>
        <w:rPr>
          <w:rStyle w:val="emailstyle15"/>
          <w:rFonts w:ascii="Verdana" w:hAnsi="Verdana"/>
          <w:sz w:val="20"/>
        </w:rPr>
      </w:pPr>
    </w:p>
    <w:p w:rsidR="00DF53F2" w:rsidRDefault="00DF53F2">
      <w:pPr>
        <w:numPr>
          <w:ilvl w:val="0"/>
          <w:numId w:val="2"/>
        </w:numPr>
        <w:tabs>
          <w:tab w:val="clear" w:pos="720"/>
          <w:tab w:val="num" w:pos="900"/>
        </w:tabs>
        <w:spacing w:after="120"/>
        <w:ind w:left="900" w:hanging="54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The SJC officers could act quickly on determining a case to be administratively in order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9</w:t>
      </w:r>
      <w:r>
        <w:rPr>
          <w:rStyle w:val="emailstyle15"/>
          <w:rFonts w:ascii="Verdana" w:hAnsi="Verdana"/>
          <w:sz w:val="20"/>
        </w:rPr>
        <w:t>.1) as soon as the ROC is received.</w:t>
      </w:r>
    </w:p>
    <w:p w:rsidR="00DF53F2" w:rsidRDefault="00DF53F2">
      <w:pPr>
        <w:numPr>
          <w:ilvl w:val="0"/>
          <w:numId w:val="2"/>
        </w:numPr>
        <w:tabs>
          <w:tab w:val="clear" w:pos="720"/>
          <w:tab w:val="num" w:pos="900"/>
        </w:tabs>
        <w:spacing w:after="120"/>
        <w:ind w:left="900" w:hanging="54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One judicial panel could deal with multiple cases dealing with the same situation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18</w:t>
      </w:r>
      <w:r>
        <w:rPr>
          <w:rStyle w:val="emailstyle15"/>
          <w:rFonts w:ascii="Verdana" w:hAnsi="Verdana"/>
          <w:sz w:val="20"/>
        </w:rPr>
        <w:t>.3 a).</w:t>
      </w:r>
    </w:p>
    <w:p w:rsidR="00DF53F2" w:rsidRDefault="00DF53F2">
      <w:pPr>
        <w:numPr>
          <w:ilvl w:val="0"/>
          <w:numId w:val="2"/>
        </w:numPr>
        <w:tabs>
          <w:tab w:val="clear" w:pos="720"/>
          <w:tab w:val="num" w:pos="900"/>
        </w:tabs>
        <w:spacing w:after="120"/>
        <w:ind w:left="900" w:hanging="54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The judicial panel could combine its constituting and initial meetings into one meeting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.5).</w:t>
      </w:r>
    </w:p>
    <w:p w:rsidR="00DF53F2" w:rsidRDefault="00DF53F2">
      <w:pPr>
        <w:numPr>
          <w:ilvl w:val="0"/>
          <w:numId w:val="2"/>
        </w:numPr>
        <w:tabs>
          <w:tab w:val="clear" w:pos="720"/>
          <w:tab w:val="num" w:pos="900"/>
        </w:tabs>
        <w:spacing w:after="120"/>
        <w:ind w:left="900" w:hanging="54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If both parties agreed upon the ROC quickly, time would be saved.</w:t>
      </w:r>
    </w:p>
    <w:p w:rsidR="00DF53F2" w:rsidRDefault="00DF53F2">
      <w:pPr>
        <w:numPr>
          <w:ilvl w:val="0"/>
          <w:numId w:val="2"/>
        </w:numPr>
        <w:tabs>
          <w:tab w:val="clear" w:pos="720"/>
          <w:tab w:val="num" w:pos="900"/>
        </w:tabs>
        <w:spacing w:after="120"/>
        <w:ind w:left="900" w:hanging="54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The 40-day notice for a hearing could be shortened by the written agreement of both parties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.7 b.).</w:t>
      </w:r>
    </w:p>
    <w:p w:rsidR="00DF53F2" w:rsidRDefault="00DF53F2">
      <w:pPr>
        <w:numPr>
          <w:ilvl w:val="0"/>
          <w:numId w:val="2"/>
        </w:numPr>
        <w:tabs>
          <w:tab w:val="clear" w:pos="720"/>
          <w:tab w:val="num" w:pos="900"/>
        </w:tabs>
        <w:spacing w:after="120"/>
        <w:ind w:left="900" w:hanging="54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To reduce expenses the heari</w:t>
      </w:r>
      <w:r w:rsidR="000E6BC3">
        <w:rPr>
          <w:rStyle w:val="emailstyle15"/>
          <w:rFonts w:ascii="Verdana" w:hAnsi="Verdana"/>
          <w:sz w:val="20"/>
        </w:rPr>
        <w:t xml:space="preserve">ng could be by </w:t>
      </w:r>
      <w:r w:rsidR="008A3215">
        <w:rPr>
          <w:rStyle w:val="emailstyle15"/>
          <w:rFonts w:ascii="Verdana" w:hAnsi="Verdana"/>
          <w:sz w:val="20"/>
        </w:rPr>
        <w:t>electronic means</w:t>
      </w:r>
      <w:r w:rsidR="000E6BC3">
        <w:rPr>
          <w:rStyle w:val="emailstyle15"/>
          <w:rFonts w:ascii="Verdana" w:hAnsi="Verdana"/>
          <w:sz w:val="20"/>
        </w:rPr>
        <w:t xml:space="preserve"> </w:t>
      </w:r>
      <w:r>
        <w:rPr>
          <w:rStyle w:val="emailstyle15"/>
          <w:rFonts w:ascii="Verdana" w:hAnsi="Verdana"/>
          <w:sz w:val="20"/>
        </w:rPr>
        <w:t>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.7 a.), if all parties and panel members agree, or by written brief (BCO 42-11; 43-7) with a party giving written notice to do so.</w:t>
      </w:r>
    </w:p>
    <w:p w:rsidR="00DF53F2" w:rsidRDefault="00DF53F2">
      <w:pPr>
        <w:numPr>
          <w:ilvl w:val="0"/>
          <w:numId w:val="2"/>
        </w:numPr>
        <w:tabs>
          <w:tab w:val="clear" w:pos="720"/>
          <w:tab w:val="num" w:pos="900"/>
        </w:tabs>
        <w:spacing w:after="120"/>
        <w:ind w:left="900" w:hanging="54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After the hearing the judicial panel could take less than twenty days to render a written decision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 xml:space="preserve">.10,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.11) depending on factors such as the complexity of the case.</w:t>
      </w:r>
    </w:p>
    <w:p w:rsidR="00DF53F2" w:rsidRDefault="00DF53F2">
      <w:pPr>
        <w:tabs>
          <w:tab w:val="num" w:pos="900"/>
        </w:tabs>
        <w:ind w:left="900" w:hanging="540"/>
        <w:rPr>
          <w:rFonts w:ascii="Verdana" w:hAnsi="Verdana"/>
          <w:sz w:val="20"/>
        </w:rPr>
      </w:pPr>
    </w:p>
    <w:sectPr w:rsidR="00DF53F2">
      <w:headerReference w:type="default" r:id="rId8"/>
      <w:footerReference w:type="default" r:id="rId9"/>
      <w:pgSz w:w="12240" w:h="15840"/>
      <w:pgMar w:top="1440" w:right="100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8EC" w:rsidRDefault="008978EC">
      <w:r>
        <w:separator/>
      </w:r>
    </w:p>
  </w:endnote>
  <w:endnote w:type="continuationSeparator" w:id="0">
    <w:p w:rsidR="008978EC" w:rsidRDefault="00897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Omega">
    <w:altName w:val="Lucida Sans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319" w:rsidRPr="00B42319" w:rsidRDefault="008A3215" w:rsidP="00B42319">
    <w:pPr>
      <w:pStyle w:val="Foot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11/13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8EC" w:rsidRDefault="008978EC">
      <w:r>
        <w:separator/>
      </w:r>
    </w:p>
  </w:footnote>
  <w:footnote w:type="continuationSeparator" w:id="0">
    <w:p w:rsidR="008978EC" w:rsidRDefault="00897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BC3" w:rsidRDefault="000E6BC3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071</w:t>
    </w:r>
    <w:r w:rsidR="00812D45">
      <w:rPr>
        <w:rFonts w:ascii="Times New Roman" w:hAnsi="Times New Roman" w:cs="Times New Roman"/>
      </w:rPr>
      <w:t>-</w:t>
    </w:r>
    <w:r w:rsidR="00812D45" w:rsidRPr="00812D45">
      <w:rPr>
        <w:rFonts w:ascii="Times New Roman" w:hAnsi="Times New Roman" w:cs="Times New Roman"/>
        <w:b/>
      </w:rPr>
      <w:t>A</w:t>
    </w:r>
    <w:r w:rsidR="00812D45">
      <w:rPr>
        <w:rFonts w:ascii="Times New Roman" w:hAnsi="Times New Roman" w:cs="Times New Roman"/>
      </w:rPr>
      <w:t xml:space="preserve"> </w:t>
    </w:r>
    <w:r>
      <w:rPr>
        <w:rStyle w:val="PageNumber"/>
        <w:rFonts w:ascii="Times New Roman" w:hAnsi="Times New Roman" w:cs="Times New Roman"/>
      </w:rPr>
      <w:fldChar w:fldCharType="begin"/>
    </w:r>
    <w:r>
      <w:rPr>
        <w:rStyle w:val="PageNumber"/>
        <w:rFonts w:ascii="Times New Roman" w:hAnsi="Times New Roman" w:cs="Times New Roman"/>
      </w:rPr>
      <w:instrText xml:space="preserve"> PAGE </w:instrText>
    </w:r>
    <w:r>
      <w:rPr>
        <w:rStyle w:val="PageNumber"/>
        <w:rFonts w:ascii="Times New Roman" w:hAnsi="Times New Roman" w:cs="Times New Roman"/>
      </w:rPr>
      <w:fldChar w:fldCharType="separate"/>
    </w:r>
    <w:r w:rsidR="005509D2">
      <w:rPr>
        <w:rStyle w:val="PageNumber"/>
        <w:rFonts w:ascii="Times New Roman" w:hAnsi="Times New Roman" w:cs="Times New Roman"/>
        <w:noProof/>
      </w:rPr>
      <w:t>1</w:t>
    </w:r>
    <w:r>
      <w:rPr>
        <w:rStyle w:val="PageNumber"/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31035"/>
    <w:multiLevelType w:val="hybridMultilevel"/>
    <w:tmpl w:val="F89C20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A256D8"/>
    <w:multiLevelType w:val="hybridMultilevel"/>
    <w:tmpl w:val="C69CEA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7B3A0C"/>
    <w:multiLevelType w:val="hybridMultilevel"/>
    <w:tmpl w:val="1E68FD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E7F"/>
    <w:rsid w:val="000E6BC3"/>
    <w:rsid w:val="005509D2"/>
    <w:rsid w:val="00584267"/>
    <w:rsid w:val="00812D45"/>
    <w:rsid w:val="00851E7F"/>
    <w:rsid w:val="008978EC"/>
    <w:rsid w:val="008A3215"/>
    <w:rsid w:val="00B42319"/>
    <w:rsid w:val="00C27359"/>
    <w:rsid w:val="00C66221"/>
    <w:rsid w:val="00DF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G Omega" w:hAnsi="CG Omega" w:cs="Arial"/>
      <w:color w:val="000000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emailstyle15">
    <w:name w:val="emailstyle15"/>
    <w:rPr>
      <w:rFonts w:ascii="Georgia" w:hAnsi="Georgia" w:cs="Arial"/>
      <w:color w:val="000000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tabs>
        <w:tab w:val="left" w:pos="3765"/>
        <w:tab w:val="center" w:pos="7545"/>
      </w:tabs>
      <w:ind w:left="360"/>
      <w:jc w:val="center"/>
    </w:pPr>
    <w:rPr>
      <w:b/>
      <w:bCs/>
    </w:rPr>
  </w:style>
  <w:style w:type="paragraph" w:styleId="BodyTextIndent">
    <w:name w:val="Body Text Indent"/>
    <w:basedOn w:val="Normal"/>
    <w:pPr>
      <w:tabs>
        <w:tab w:val="num" w:pos="360"/>
      </w:tabs>
      <w:spacing w:after="120"/>
      <w:ind w:left="360"/>
      <w:jc w:val="both"/>
    </w:pPr>
    <w:rPr>
      <w:rFonts w:ascii="Verdana" w:hAnsi="Verdana"/>
      <w:sz w:val="20"/>
    </w:rPr>
  </w:style>
  <w:style w:type="character" w:styleId="PageNumber">
    <w:name w:val="page number"/>
    <w:basedOn w:val="DefaultParagraph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G Omega" w:hAnsi="CG Omega" w:cs="Arial"/>
      <w:color w:val="000000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emailstyle15">
    <w:name w:val="emailstyle15"/>
    <w:rPr>
      <w:rFonts w:ascii="Georgia" w:hAnsi="Georgia" w:cs="Arial"/>
      <w:color w:val="000000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tabs>
        <w:tab w:val="left" w:pos="3765"/>
        <w:tab w:val="center" w:pos="7545"/>
      </w:tabs>
      <w:ind w:left="360"/>
      <w:jc w:val="center"/>
    </w:pPr>
    <w:rPr>
      <w:b/>
      <w:bCs/>
    </w:rPr>
  </w:style>
  <w:style w:type="paragraph" w:styleId="BodyTextIndent">
    <w:name w:val="Body Text Indent"/>
    <w:basedOn w:val="Normal"/>
    <w:pPr>
      <w:tabs>
        <w:tab w:val="num" w:pos="360"/>
      </w:tabs>
      <w:spacing w:after="120"/>
      <w:ind w:left="360"/>
      <w:jc w:val="both"/>
    </w:pPr>
    <w:rPr>
      <w:rFonts w:ascii="Verdana" w:hAnsi="Verdana"/>
      <w:sz w:val="20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3105</Characters>
  <Application>Microsoft Office Word</Application>
  <DocSecurity>0</DocSecurity>
  <Lines>62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Timeline for Handling a Complaint or Appeal Arising from a Presbytery</vt:lpstr>
    </vt:vector>
  </TitlesOfParts>
  <Company>Presbyterian Church in America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Timeline for Handling a Complaint or Appeal Arising from a Presbytery</dc:title>
  <dc:creator>Administration</dc:creator>
  <cp:lastModifiedBy>Angela Nantz</cp:lastModifiedBy>
  <cp:revision>2</cp:revision>
  <cp:lastPrinted>2010-12-01T18:44:00Z</cp:lastPrinted>
  <dcterms:created xsi:type="dcterms:W3CDTF">2014-11-25T18:30:00Z</dcterms:created>
  <dcterms:modified xsi:type="dcterms:W3CDTF">2014-11-25T18:30:00Z</dcterms:modified>
</cp:coreProperties>
</file>