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03CB8D" w14:textId="77777777" w:rsidR="0051338C" w:rsidRPr="00D51231" w:rsidRDefault="0051338C" w:rsidP="0051338C">
      <w:pPr>
        <w:pStyle w:val="Heading1"/>
        <w:spacing w:line="240" w:lineRule="auto"/>
        <w:rPr>
          <w:rFonts w:asciiTheme="minorHAnsi" w:hAnsiTheme="minorHAnsi"/>
          <w:smallCaps/>
          <w:sz w:val="24"/>
        </w:rPr>
      </w:pPr>
      <w:r w:rsidRPr="00D51231">
        <w:rPr>
          <w:rFonts w:asciiTheme="minorHAnsi" w:hAnsiTheme="minorHAnsi"/>
          <w:smallCaps/>
          <w:sz w:val="24"/>
        </w:rPr>
        <w:t>Format for Overtures to the General Assembly</w:t>
      </w:r>
    </w:p>
    <w:p w14:paraId="1FA4986C" w14:textId="77777777" w:rsidR="0051338C" w:rsidRPr="00291AA3" w:rsidRDefault="0051338C" w:rsidP="0051338C">
      <w:pPr>
        <w:tabs>
          <w:tab w:val="left" w:pos="5490"/>
        </w:tabs>
      </w:pPr>
    </w:p>
    <w:p w14:paraId="0878238E" w14:textId="77777777" w:rsidR="00D51231" w:rsidRPr="00D51231" w:rsidRDefault="00D51231" w:rsidP="00D51231">
      <w:pPr>
        <w:tabs>
          <w:tab w:val="left" w:pos="720"/>
          <w:tab w:val="left" w:pos="1080"/>
          <w:tab w:val="left" w:pos="1440"/>
          <w:tab w:val="left" w:pos="1800"/>
        </w:tabs>
        <w:jc w:val="both"/>
        <w:rPr>
          <w:rFonts w:ascii="Calibri" w:hAnsi="Calibri"/>
          <w:b/>
          <w:szCs w:val="22"/>
        </w:rPr>
      </w:pPr>
      <w:r w:rsidRPr="00D51231">
        <w:rPr>
          <w:rFonts w:ascii="Calibri" w:hAnsi="Calibri"/>
          <w:b/>
          <w:szCs w:val="22"/>
        </w:rPr>
        <w:t>Submission guidelines:</w:t>
      </w:r>
    </w:p>
    <w:p w14:paraId="03F8BA88" w14:textId="77777777" w:rsidR="00D51231" w:rsidRPr="00D51231" w:rsidRDefault="00D51231" w:rsidP="00D51231">
      <w:pPr>
        <w:tabs>
          <w:tab w:val="left" w:pos="720"/>
          <w:tab w:val="left" w:pos="1080"/>
          <w:tab w:val="left" w:pos="1440"/>
          <w:tab w:val="left" w:pos="1800"/>
        </w:tabs>
        <w:jc w:val="both"/>
        <w:rPr>
          <w:rFonts w:ascii="Calibri" w:hAnsi="Calibri"/>
          <w:szCs w:val="22"/>
        </w:rPr>
      </w:pPr>
      <w:r w:rsidRPr="00D51231">
        <w:rPr>
          <w:rFonts w:ascii="Calibri" w:hAnsi="Calibri"/>
          <w:szCs w:val="22"/>
        </w:rPr>
        <w:t xml:space="preserve">Please send your overture to </w:t>
      </w:r>
      <w:hyperlink r:id="rId7" w:history="1">
        <w:r w:rsidRPr="00D51231">
          <w:rPr>
            <w:rStyle w:val="Hyperlink"/>
            <w:rFonts w:ascii="Calibri" w:hAnsi="Calibri"/>
            <w:szCs w:val="22"/>
          </w:rPr>
          <w:t>ac@pcanet.org</w:t>
        </w:r>
      </w:hyperlink>
      <w:r w:rsidRPr="00D51231">
        <w:rPr>
          <w:rFonts w:ascii="Calibri" w:hAnsi="Calibri"/>
          <w:szCs w:val="22"/>
        </w:rPr>
        <w:t>.  We prefer to receive two files:</w:t>
      </w:r>
    </w:p>
    <w:p w14:paraId="7818B2DE" w14:textId="77777777" w:rsidR="00D51231" w:rsidRPr="00D51231" w:rsidRDefault="00D51231" w:rsidP="00D51231">
      <w:pPr>
        <w:numPr>
          <w:ilvl w:val="0"/>
          <w:numId w:val="2"/>
        </w:numPr>
        <w:tabs>
          <w:tab w:val="left" w:pos="720"/>
          <w:tab w:val="left" w:pos="1080"/>
          <w:tab w:val="left" w:pos="1440"/>
          <w:tab w:val="left" w:pos="1800"/>
        </w:tabs>
        <w:jc w:val="both"/>
        <w:rPr>
          <w:rFonts w:ascii="Calibri" w:hAnsi="Calibri"/>
          <w:szCs w:val="22"/>
        </w:rPr>
      </w:pPr>
      <w:r w:rsidRPr="00D51231">
        <w:rPr>
          <w:rFonts w:ascii="Calibri" w:hAnsi="Calibri"/>
          <w:szCs w:val="22"/>
        </w:rPr>
        <w:t>A Word file we use to format for standardizing and Commissioner Handbook needs.</w:t>
      </w:r>
    </w:p>
    <w:p w14:paraId="6692E914" w14:textId="697D97A2" w:rsidR="00D51231" w:rsidRPr="00D51231" w:rsidRDefault="00D51231" w:rsidP="00D51231">
      <w:pPr>
        <w:numPr>
          <w:ilvl w:val="0"/>
          <w:numId w:val="2"/>
        </w:numPr>
        <w:tabs>
          <w:tab w:val="left" w:pos="720"/>
          <w:tab w:val="left" w:pos="1080"/>
          <w:tab w:val="left" w:pos="1440"/>
          <w:tab w:val="left" w:pos="1800"/>
        </w:tabs>
        <w:jc w:val="both"/>
        <w:rPr>
          <w:rFonts w:ascii="Calibri" w:hAnsi="Calibri"/>
          <w:szCs w:val="22"/>
        </w:rPr>
      </w:pPr>
      <w:r w:rsidRPr="00D51231">
        <w:rPr>
          <w:rFonts w:ascii="Calibri" w:hAnsi="Calibri"/>
          <w:szCs w:val="22"/>
        </w:rPr>
        <w:t>A signed PDF</w:t>
      </w:r>
      <w:r w:rsidR="001323C2">
        <w:rPr>
          <w:rFonts w:ascii="Calibri" w:hAnsi="Calibri"/>
          <w:szCs w:val="22"/>
        </w:rPr>
        <w:t>.</w:t>
      </w:r>
    </w:p>
    <w:p w14:paraId="2D049CFA" w14:textId="77777777" w:rsidR="00D51231" w:rsidRPr="00D51231" w:rsidRDefault="00D51231" w:rsidP="00D51231">
      <w:pPr>
        <w:tabs>
          <w:tab w:val="left" w:pos="720"/>
          <w:tab w:val="left" w:pos="1080"/>
          <w:tab w:val="left" w:pos="1440"/>
          <w:tab w:val="left" w:pos="1800"/>
        </w:tabs>
        <w:jc w:val="both"/>
        <w:rPr>
          <w:rFonts w:ascii="Calibri" w:hAnsi="Calibri"/>
          <w:szCs w:val="22"/>
        </w:rPr>
      </w:pPr>
      <w:r w:rsidRPr="00D51231">
        <w:rPr>
          <w:rFonts w:ascii="Calibri" w:hAnsi="Calibri"/>
          <w:szCs w:val="22"/>
        </w:rPr>
        <w:t>If you prefer to send your signed copy via the mail, please address to:</w:t>
      </w:r>
    </w:p>
    <w:p w14:paraId="2506EE33" w14:textId="77777777" w:rsidR="00D51231" w:rsidRPr="00D51231" w:rsidRDefault="00D51231" w:rsidP="00D51231">
      <w:pPr>
        <w:tabs>
          <w:tab w:val="left" w:pos="720"/>
          <w:tab w:val="left" w:pos="1080"/>
          <w:tab w:val="left" w:pos="1440"/>
          <w:tab w:val="left" w:pos="1800"/>
        </w:tabs>
        <w:ind w:firstLine="2520"/>
        <w:jc w:val="both"/>
        <w:rPr>
          <w:rFonts w:ascii="Calibri" w:hAnsi="Calibri"/>
          <w:szCs w:val="22"/>
        </w:rPr>
      </w:pPr>
      <w:r w:rsidRPr="00D51231">
        <w:rPr>
          <w:rFonts w:ascii="Calibri" w:hAnsi="Calibri"/>
          <w:szCs w:val="22"/>
        </w:rPr>
        <w:t>PCA Office of the Stated Clerk</w:t>
      </w:r>
    </w:p>
    <w:p w14:paraId="15ECEA07" w14:textId="77777777" w:rsidR="00D51231" w:rsidRPr="00D51231" w:rsidRDefault="00D51231" w:rsidP="00D51231">
      <w:pPr>
        <w:tabs>
          <w:tab w:val="left" w:pos="720"/>
          <w:tab w:val="left" w:pos="1080"/>
          <w:tab w:val="left" w:pos="1440"/>
          <w:tab w:val="left" w:pos="1800"/>
        </w:tabs>
        <w:ind w:firstLine="2520"/>
        <w:jc w:val="both"/>
        <w:rPr>
          <w:rFonts w:ascii="Calibri" w:hAnsi="Calibri"/>
          <w:szCs w:val="22"/>
        </w:rPr>
      </w:pPr>
      <w:r w:rsidRPr="00D51231">
        <w:rPr>
          <w:rFonts w:ascii="Calibri" w:hAnsi="Calibri"/>
          <w:szCs w:val="22"/>
        </w:rPr>
        <w:t>1700 North Brown Road</w:t>
      </w:r>
    </w:p>
    <w:p w14:paraId="3CDADDAB" w14:textId="77777777" w:rsidR="00D51231" w:rsidRPr="00D51231" w:rsidRDefault="00D51231" w:rsidP="00D51231">
      <w:pPr>
        <w:tabs>
          <w:tab w:val="left" w:pos="720"/>
          <w:tab w:val="left" w:pos="1080"/>
          <w:tab w:val="left" w:pos="1440"/>
          <w:tab w:val="left" w:pos="1800"/>
        </w:tabs>
        <w:ind w:firstLine="2520"/>
        <w:jc w:val="both"/>
        <w:rPr>
          <w:rFonts w:ascii="Calibri" w:hAnsi="Calibri"/>
          <w:szCs w:val="22"/>
        </w:rPr>
      </w:pPr>
      <w:r w:rsidRPr="00D51231">
        <w:rPr>
          <w:rFonts w:ascii="Calibri" w:hAnsi="Calibri"/>
          <w:szCs w:val="22"/>
        </w:rPr>
        <w:t>Suite 105</w:t>
      </w:r>
    </w:p>
    <w:p w14:paraId="3376BBC5" w14:textId="77777777" w:rsidR="00D51231" w:rsidRPr="00D51231" w:rsidRDefault="00D51231" w:rsidP="00D51231">
      <w:pPr>
        <w:tabs>
          <w:tab w:val="left" w:pos="720"/>
          <w:tab w:val="left" w:pos="1080"/>
          <w:tab w:val="left" w:pos="1440"/>
          <w:tab w:val="left" w:pos="1800"/>
        </w:tabs>
        <w:ind w:firstLine="2520"/>
        <w:jc w:val="both"/>
        <w:rPr>
          <w:rFonts w:ascii="Calibri" w:hAnsi="Calibri"/>
          <w:szCs w:val="22"/>
        </w:rPr>
      </w:pPr>
      <w:r w:rsidRPr="00D51231">
        <w:rPr>
          <w:rFonts w:ascii="Calibri" w:hAnsi="Calibri"/>
          <w:szCs w:val="22"/>
        </w:rPr>
        <w:t>Lawrenceville, GA 30043</w:t>
      </w:r>
    </w:p>
    <w:p w14:paraId="6D0E3574" w14:textId="77777777" w:rsidR="00D51231" w:rsidRPr="00D51231" w:rsidRDefault="00D51231" w:rsidP="00D51231">
      <w:pPr>
        <w:tabs>
          <w:tab w:val="left" w:pos="720"/>
          <w:tab w:val="left" w:pos="1080"/>
          <w:tab w:val="left" w:pos="1440"/>
          <w:tab w:val="left" w:pos="1800"/>
        </w:tabs>
        <w:jc w:val="both"/>
        <w:rPr>
          <w:rFonts w:ascii="Calibri" w:hAnsi="Calibri"/>
          <w:szCs w:val="22"/>
        </w:rPr>
      </w:pPr>
    </w:p>
    <w:p w14:paraId="55258885" w14:textId="77777777" w:rsidR="00D51231" w:rsidRDefault="00D51231" w:rsidP="00D51231">
      <w:pPr>
        <w:tabs>
          <w:tab w:val="left" w:pos="720"/>
          <w:tab w:val="left" w:pos="1080"/>
          <w:tab w:val="left" w:pos="1440"/>
          <w:tab w:val="left" w:pos="1800"/>
        </w:tabs>
        <w:jc w:val="both"/>
        <w:rPr>
          <w:rFonts w:ascii="Calibri" w:hAnsi="Calibri"/>
          <w:szCs w:val="22"/>
        </w:rPr>
      </w:pPr>
      <w:r w:rsidRPr="00D51231">
        <w:rPr>
          <w:rFonts w:ascii="Calibri" w:hAnsi="Calibri"/>
          <w:szCs w:val="22"/>
        </w:rPr>
        <w:t>The due dates for all overtures may be found on the Due Dates page 003 of this Handbook.</w:t>
      </w:r>
    </w:p>
    <w:p w14:paraId="1BF32704" w14:textId="77777777" w:rsidR="00D51231" w:rsidRDefault="00D51231" w:rsidP="00D51231">
      <w:pPr>
        <w:tabs>
          <w:tab w:val="left" w:pos="720"/>
          <w:tab w:val="left" w:pos="1080"/>
          <w:tab w:val="left" w:pos="1440"/>
          <w:tab w:val="left" w:pos="1800"/>
        </w:tabs>
        <w:jc w:val="both"/>
        <w:rPr>
          <w:rFonts w:ascii="Calibri" w:hAnsi="Calibri"/>
          <w:szCs w:val="22"/>
        </w:rPr>
      </w:pPr>
    </w:p>
    <w:p w14:paraId="5A2C8FFB" w14:textId="77777777" w:rsidR="00D51231" w:rsidRPr="00D51231" w:rsidRDefault="00D51231" w:rsidP="00D51231">
      <w:pPr>
        <w:tabs>
          <w:tab w:val="left" w:pos="720"/>
          <w:tab w:val="left" w:pos="1080"/>
          <w:tab w:val="left" w:pos="1440"/>
          <w:tab w:val="left" w:pos="1800"/>
        </w:tabs>
        <w:jc w:val="both"/>
        <w:rPr>
          <w:rFonts w:ascii="Calibri" w:hAnsi="Calibri"/>
          <w:b/>
          <w:szCs w:val="22"/>
        </w:rPr>
      </w:pPr>
      <w:r w:rsidRPr="00D51231">
        <w:rPr>
          <w:rFonts w:ascii="Calibri" w:hAnsi="Calibri"/>
          <w:b/>
          <w:szCs w:val="22"/>
        </w:rPr>
        <w:t>Format template:</w:t>
      </w:r>
    </w:p>
    <w:p w14:paraId="7A9C6D9E" w14:textId="77777777" w:rsidR="0051338C" w:rsidRPr="00291AA3" w:rsidRDefault="0051338C" w:rsidP="0051338C">
      <w:pPr>
        <w:tabs>
          <w:tab w:val="left" w:pos="5490"/>
        </w:tabs>
        <w:rPr>
          <w:b/>
        </w:rPr>
      </w:pPr>
    </w:p>
    <w:p w14:paraId="5E2633A4" w14:textId="77777777" w:rsidR="0051338C" w:rsidRDefault="0051338C" w:rsidP="0051338C">
      <w:pPr>
        <w:tabs>
          <w:tab w:val="left" w:pos="5490"/>
        </w:tabs>
        <w:spacing w:line="240" w:lineRule="exact"/>
      </w:pPr>
      <w:r w:rsidRPr="00291AA3">
        <w:rPr>
          <w:b/>
        </w:rPr>
        <w:t>Overture</w:t>
      </w:r>
      <w:r>
        <w:t xml:space="preserve"> from the Presbytery of_______________________________________________</w:t>
      </w:r>
    </w:p>
    <w:p w14:paraId="7A98147C" w14:textId="77777777" w:rsidR="0051338C" w:rsidRDefault="0051338C" w:rsidP="0051338C">
      <w:pPr>
        <w:tabs>
          <w:tab w:val="left" w:pos="5490"/>
        </w:tabs>
      </w:pPr>
    </w:p>
    <w:p w14:paraId="3756C731" w14:textId="77777777" w:rsidR="0051338C" w:rsidRDefault="0051338C" w:rsidP="0051338C">
      <w:pPr>
        <w:tabs>
          <w:tab w:val="right" w:leader="dot" w:pos="4560"/>
          <w:tab w:val="left" w:pos="4800"/>
          <w:tab w:val="left" w:pos="5490"/>
        </w:tabs>
        <w:spacing w:line="240" w:lineRule="exact"/>
        <w:ind w:left="720" w:hanging="720"/>
      </w:pPr>
      <w:r>
        <w:rPr>
          <w:b/>
        </w:rPr>
        <w:t>Whereas_________________________________________________________________</w:t>
      </w:r>
      <w:r>
        <w:t>_</w:t>
      </w:r>
    </w:p>
    <w:p w14:paraId="17247D3E" w14:textId="77777777" w:rsidR="0051338C" w:rsidRDefault="0051338C" w:rsidP="0051338C">
      <w:pPr>
        <w:tabs>
          <w:tab w:val="right" w:leader="dot" w:pos="4560"/>
          <w:tab w:val="left" w:pos="4800"/>
          <w:tab w:val="left" w:pos="5490"/>
        </w:tabs>
        <w:ind w:left="720" w:hanging="720"/>
      </w:pPr>
      <w:r>
        <w:tab/>
        <w:t>________________________________________________________; and</w:t>
      </w:r>
    </w:p>
    <w:p w14:paraId="6DE57036" w14:textId="77777777" w:rsidR="0051338C" w:rsidRDefault="0051338C" w:rsidP="0051338C">
      <w:pPr>
        <w:tabs>
          <w:tab w:val="right" w:leader="dot" w:pos="4560"/>
          <w:tab w:val="left" w:pos="4800"/>
          <w:tab w:val="left" w:pos="5490"/>
        </w:tabs>
        <w:ind w:left="720" w:hanging="720"/>
      </w:pPr>
    </w:p>
    <w:p w14:paraId="160ECCC5" w14:textId="77777777" w:rsidR="0051338C" w:rsidRDefault="0051338C" w:rsidP="0051338C">
      <w:pPr>
        <w:tabs>
          <w:tab w:val="right" w:leader="dot" w:pos="4560"/>
          <w:tab w:val="left" w:pos="4800"/>
          <w:tab w:val="left" w:pos="5490"/>
        </w:tabs>
        <w:ind w:left="720" w:hanging="720"/>
      </w:pPr>
      <w:r w:rsidRPr="00BA6FD8">
        <w:rPr>
          <w:b/>
        </w:rPr>
        <w:t>Whereas</w:t>
      </w:r>
      <w:r>
        <w:t>__________________________________________________________________</w:t>
      </w:r>
    </w:p>
    <w:p w14:paraId="50D24C80" w14:textId="77777777" w:rsidR="0051338C" w:rsidRDefault="0051338C" w:rsidP="0051338C">
      <w:pPr>
        <w:tabs>
          <w:tab w:val="right" w:leader="dot" w:pos="4560"/>
          <w:tab w:val="left" w:pos="4800"/>
          <w:tab w:val="left" w:pos="5490"/>
        </w:tabs>
        <w:ind w:left="720" w:hanging="720"/>
      </w:pPr>
      <w:r>
        <w:tab/>
        <w:t>_______________________________________________; and</w:t>
      </w:r>
    </w:p>
    <w:p w14:paraId="2ECDA76A" w14:textId="77777777" w:rsidR="0051338C" w:rsidRDefault="0051338C" w:rsidP="0051338C">
      <w:pPr>
        <w:tabs>
          <w:tab w:val="right" w:leader="dot" w:pos="4560"/>
          <w:tab w:val="left" w:pos="4800"/>
          <w:tab w:val="left" w:pos="5490"/>
        </w:tabs>
        <w:ind w:left="720" w:hanging="720"/>
      </w:pPr>
    </w:p>
    <w:p w14:paraId="229C49FA" w14:textId="77777777" w:rsidR="0051338C" w:rsidRDefault="0051338C" w:rsidP="0051338C">
      <w:pPr>
        <w:tabs>
          <w:tab w:val="right" w:leader="dot" w:pos="4560"/>
          <w:tab w:val="left" w:pos="4800"/>
          <w:tab w:val="left" w:pos="5490"/>
        </w:tabs>
        <w:ind w:left="720" w:hanging="720"/>
      </w:pPr>
      <w:r>
        <w:rPr>
          <w:b/>
        </w:rPr>
        <w:t>Whereas</w:t>
      </w:r>
      <w:r>
        <w:t>__________________________________________________________________</w:t>
      </w:r>
    </w:p>
    <w:p w14:paraId="60CEC5B3" w14:textId="77777777" w:rsidR="0051338C" w:rsidRPr="00D0306D" w:rsidRDefault="0051338C" w:rsidP="0051338C">
      <w:pPr>
        <w:tabs>
          <w:tab w:val="right" w:leader="dot" w:pos="4560"/>
          <w:tab w:val="left" w:pos="4800"/>
          <w:tab w:val="left" w:pos="5490"/>
        </w:tabs>
        <w:ind w:left="720" w:hanging="720"/>
      </w:pPr>
      <w:r>
        <w:rPr>
          <w:b/>
        </w:rPr>
        <w:tab/>
        <w:t>______________________________________________________________;</w:t>
      </w:r>
    </w:p>
    <w:p w14:paraId="7783419C" w14:textId="77777777" w:rsidR="0051338C" w:rsidRDefault="0051338C" w:rsidP="0051338C">
      <w:pPr>
        <w:tabs>
          <w:tab w:val="right" w:leader="dot" w:pos="4560"/>
          <w:tab w:val="left" w:pos="4800"/>
          <w:tab w:val="left" w:pos="5490"/>
        </w:tabs>
        <w:ind w:left="720" w:hanging="720"/>
      </w:pPr>
    </w:p>
    <w:p w14:paraId="0178F8DC" w14:textId="77777777" w:rsidR="0051338C" w:rsidRDefault="0051338C" w:rsidP="0051338C">
      <w:pPr>
        <w:tabs>
          <w:tab w:val="right" w:leader="dot" w:pos="4560"/>
          <w:tab w:val="left" w:pos="4800"/>
          <w:tab w:val="left" w:pos="5490"/>
        </w:tabs>
        <w:spacing w:line="240" w:lineRule="exact"/>
        <w:ind w:left="720" w:hanging="720"/>
        <w:rPr>
          <w:b/>
        </w:rPr>
      </w:pPr>
      <w:r>
        <w:rPr>
          <w:b/>
        </w:rPr>
        <w:t>Therefore be it resolved______________________________________________________</w:t>
      </w:r>
    </w:p>
    <w:p w14:paraId="18EFB4B7" w14:textId="77777777" w:rsidR="0051338C" w:rsidRDefault="0051338C" w:rsidP="0051338C">
      <w:pPr>
        <w:tabs>
          <w:tab w:val="right" w:leader="dot" w:pos="4560"/>
          <w:tab w:val="left" w:pos="4800"/>
          <w:tab w:val="left" w:pos="5490"/>
        </w:tabs>
        <w:spacing w:line="240" w:lineRule="exact"/>
        <w:ind w:left="720" w:hanging="720"/>
        <w:rPr>
          <w:b/>
        </w:rPr>
      </w:pPr>
      <w:r>
        <w:rPr>
          <w:b/>
        </w:rPr>
        <w:tab/>
        <w:t>____________________________________________________________________</w:t>
      </w:r>
    </w:p>
    <w:p w14:paraId="3EF48B13" w14:textId="77777777" w:rsidR="0051338C" w:rsidRPr="00570364" w:rsidRDefault="0051338C" w:rsidP="0051338C">
      <w:pPr>
        <w:tabs>
          <w:tab w:val="right" w:leader="dot" w:pos="4560"/>
          <w:tab w:val="left" w:pos="4800"/>
          <w:tab w:val="left" w:pos="5490"/>
        </w:tabs>
        <w:spacing w:line="240" w:lineRule="exact"/>
        <w:ind w:left="720" w:hanging="720"/>
        <w:rPr>
          <w:b/>
        </w:rPr>
      </w:pPr>
      <w:r>
        <w:rPr>
          <w:b/>
        </w:rPr>
        <w:tab/>
        <w:t>______________________________________________________________.</w:t>
      </w:r>
    </w:p>
    <w:p w14:paraId="46883EE4" w14:textId="77777777" w:rsidR="0051338C" w:rsidRPr="00570364" w:rsidRDefault="0051338C" w:rsidP="0051338C">
      <w:pPr>
        <w:tabs>
          <w:tab w:val="right" w:leader="dot" w:pos="4560"/>
          <w:tab w:val="left" w:pos="4800"/>
          <w:tab w:val="left" w:pos="5490"/>
        </w:tabs>
        <w:spacing w:line="240" w:lineRule="exact"/>
        <w:ind w:left="720" w:hanging="720"/>
      </w:pPr>
    </w:p>
    <w:p w14:paraId="73E19109" w14:textId="77777777" w:rsidR="0051338C" w:rsidRDefault="0051338C" w:rsidP="0051338C">
      <w:pPr>
        <w:tabs>
          <w:tab w:val="left" w:pos="5490"/>
        </w:tabs>
        <w:ind w:left="720" w:hanging="720"/>
      </w:pPr>
    </w:p>
    <w:p w14:paraId="2F85E8CD" w14:textId="77777777" w:rsidR="0051338C" w:rsidRPr="00570364" w:rsidRDefault="0051338C" w:rsidP="0051338C">
      <w:pPr>
        <w:tabs>
          <w:tab w:val="left" w:pos="5490"/>
        </w:tabs>
        <w:spacing w:line="240" w:lineRule="exact"/>
        <w:rPr>
          <w:i/>
        </w:rPr>
      </w:pPr>
      <w:r w:rsidRPr="001C2A07">
        <w:rPr>
          <w:i/>
        </w:rPr>
        <w:t xml:space="preserve">Adopted </w:t>
      </w:r>
      <w:proofErr w:type="spellStart"/>
      <w:r w:rsidRPr="001C2A07">
        <w:rPr>
          <w:i/>
        </w:rPr>
        <w:t>by</w:t>
      </w:r>
      <w:r>
        <w:t>___________________________</w:t>
      </w:r>
      <w:r w:rsidRPr="00570364">
        <w:rPr>
          <w:i/>
        </w:rPr>
        <w:t>Presbytery</w:t>
      </w:r>
      <w:proofErr w:type="spellEnd"/>
      <w:r w:rsidRPr="00570364">
        <w:rPr>
          <w:i/>
        </w:rPr>
        <w:t xml:space="preserve"> at its stated meeting, </w:t>
      </w:r>
      <w:r w:rsidRPr="00570364">
        <w:rPr>
          <w:i/>
          <w:u w:val="single"/>
        </w:rPr>
        <w:t>(date)_</w:t>
      </w:r>
      <w:r>
        <w:rPr>
          <w:i/>
          <w:u w:val="single"/>
        </w:rPr>
        <w:t>_</w:t>
      </w:r>
      <w:r w:rsidRPr="00570364">
        <w:rPr>
          <w:i/>
          <w:u w:val="single"/>
        </w:rPr>
        <w:t>_____</w:t>
      </w:r>
    </w:p>
    <w:p w14:paraId="3F40D4EB" w14:textId="61D79A0B" w:rsidR="0051338C" w:rsidRPr="00570364" w:rsidRDefault="0051338C" w:rsidP="0051338C">
      <w:pPr>
        <w:tabs>
          <w:tab w:val="left" w:pos="5490"/>
        </w:tabs>
        <w:spacing w:line="240" w:lineRule="exact"/>
        <w:rPr>
          <w:i/>
        </w:rPr>
      </w:pPr>
      <w:r w:rsidRPr="008A039E">
        <w:rPr>
          <w:i/>
        </w:rPr>
        <w:t>Attested by</w:t>
      </w:r>
      <w:r>
        <w:t xml:space="preserve"> </w:t>
      </w:r>
      <w:r w:rsidR="001323C2" w:rsidRPr="001323C2">
        <w:rPr>
          <w:i/>
        </w:rPr>
        <w:t>TE/RE</w:t>
      </w:r>
      <w:r w:rsidR="001323C2">
        <w:t xml:space="preserve"> </w:t>
      </w:r>
      <w:r>
        <w:rPr>
          <w:u w:val="single"/>
        </w:rPr>
        <w:t>(Signature)</w:t>
      </w:r>
      <w:r>
        <w:t>___________________________________</w:t>
      </w:r>
      <w:r w:rsidRPr="00570364">
        <w:rPr>
          <w:i/>
        </w:rPr>
        <w:t>, stated clerk</w:t>
      </w:r>
    </w:p>
    <w:p w14:paraId="35350A0C" w14:textId="77777777" w:rsidR="0051338C" w:rsidRDefault="0051338C" w:rsidP="0051338C">
      <w:pPr>
        <w:tabs>
          <w:tab w:val="left" w:pos="5490"/>
        </w:tabs>
        <w:spacing w:line="240" w:lineRule="exact"/>
      </w:pPr>
    </w:p>
    <w:p w14:paraId="4ECF3D8F" w14:textId="77777777" w:rsidR="0051338C" w:rsidRDefault="0051338C" w:rsidP="0051338C">
      <w:pPr>
        <w:tabs>
          <w:tab w:val="left" w:pos="720"/>
        </w:tabs>
        <w:spacing w:line="240" w:lineRule="exact"/>
        <w:rPr>
          <w:u w:val="single"/>
        </w:rPr>
      </w:pPr>
      <w:r>
        <w:tab/>
        <w:t xml:space="preserve">      </w:t>
      </w:r>
      <w:r w:rsidRPr="001C2A07">
        <w:rPr>
          <w:u w:val="single"/>
        </w:rPr>
        <w:t>(Print Name)</w:t>
      </w:r>
      <w:r>
        <w:rPr>
          <w:u w:val="single"/>
        </w:rPr>
        <w:t>__________________________________________________</w:t>
      </w:r>
    </w:p>
    <w:p w14:paraId="7F79708F" w14:textId="77777777" w:rsidR="0051338C" w:rsidRDefault="0051338C" w:rsidP="0051338C">
      <w:pPr>
        <w:tabs>
          <w:tab w:val="left" w:pos="5490"/>
        </w:tabs>
      </w:pPr>
    </w:p>
    <w:p w14:paraId="70E02771" w14:textId="77777777" w:rsidR="0051338C" w:rsidRDefault="0051338C" w:rsidP="0051338C">
      <w:pPr>
        <w:tabs>
          <w:tab w:val="left" w:pos="720"/>
          <w:tab w:val="left" w:pos="1080"/>
          <w:tab w:val="left" w:pos="1440"/>
          <w:tab w:val="left" w:pos="1800"/>
        </w:tabs>
        <w:jc w:val="both"/>
        <w:rPr>
          <w:b/>
          <w:szCs w:val="22"/>
        </w:rPr>
      </w:pPr>
    </w:p>
    <w:p w14:paraId="18462EE3" w14:textId="263EF027" w:rsidR="0051338C" w:rsidRPr="00D51231" w:rsidRDefault="001323C2" w:rsidP="0051338C">
      <w:pPr>
        <w:tabs>
          <w:tab w:val="left" w:pos="5490"/>
        </w:tabs>
        <w:spacing w:line="240" w:lineRule="exact"/>
        <w:rPr>
          <w:rFonts w:asciiTheme="minorHAnsi" w:hAnsiTheme="minorHAnsi"/>
          <w:b/>
        </w:rPr>
      </w:pPr>
      <w:r w:rsidRPr="001323C2">
        <w:rPr>
          <w:rFonts w:asciiTheme="minorHAnsi" w:hAnsiTheme="minorHAnsi"/>
          <w:b/>
          <w:iCs/>
        </w:rPr>
        <w:t xml:space="preserve">From </w:t>
      </w:r>
      <w:r w:rsidR="0051338C" w:rsidRPr="00D51231">
        <w:rPr>
          <w:rFonts w:asciiTheme="minorHAnsi" w:hAnsiTheme="minorHAnsi"/>
          <w:b/>
          <w:i/>
          <w:iCs/>
        </w:rPr>
        <w:t>RAO</w:t>
      </w:r>
      <w:r w:rsidR="0051338C" w:rsidRPr="00D51231">
        <w:rPr>
          <w:rFonts w:asciiTheme="minorHAnsi" w:hAnsiTheme="minorHAnsi"/>
          <w:b/>
        </w:rPr>
        <w:t xml:space="preserve"> Article XI on Overtures:</w:t>
      </w:r>
    </w:p>
    <w:p w14:paraId="57816D44" w14:textId="51FD7040" w:rsidR="0051338C" w:rsidRPr="00505731" w:rsidRDefault="0051338C" w:rsidP="0051338C">
      <w:pPr>
        <w:tabs>
          <w:tab w:val="left" w:pos="720"/>
          <w:tab w:val="left" w:pos="1080"/>
          <w:tab w:val="left" w:pos="1440"/>
          <w:tab w:val="left" w:pos="1800"/>
        </w:tabs>
        <w:jc w:val="both"/>
        <w:rPr>
          <w:rFonts w:asciiTheme="minorHAnsi" w:hAnsiTheme="minorHAnsi" w:cstheme="minorHAnsi"/>
          <w:b/>
          <w:szCs w:val="22"/>
        </w:rPr>
      </w:pPr>
    </w:p>
    <w:p w14:paraId="1842B4F1" w14:textId="77777777" w:rsidR="00505731" w:rsidRPr="00505731" w:rsidRDefault="00505731" w:rsidP="00505731">
      <w:pPr>
        <w:tabs>
          <w:tab w:val="left" w:pos="720"/>
          <w:tab w:val="left" w:pos="1080"/>
          <w:tab w:val="left" w:pos="1440"/>
          <w:tab w:val="left" w:pos="1800"/>
        </w:tabs>
        <w:jc w:val="both"/>
        <w:rPr>
          <w:rFonts w:asciiTheme="minorHAnsi" w:hAnsiTheme="minorHAnsi" w:cstheme="minorHAnsi"/>
          <w:szCs w:val="22"/>
        </w:rPr>
      </w:pPr>
      <w:r w:rsidRPr="00505731">
        <w:rPr>
          <w:rFonts w:asciiTheme="minorHAnsi" w:hAnsiTheme="minorHAnsi" w:cstheme="minorHAnsi"/>
          <w:b/>
          <w:szCs w:val="22"/>
        </w:rPr>
        <w:t>11-4.</w:t>
      </w:r>
      <w:r w:rsidRPr="00505731">
        <w:rPr>
          <w:rFonts w:asciiTheme="minorHAnsi" w:hAnsiTheme="minorHAnsi" w:cstheme="minorHAnsi"/>
          <w:szCs w:val="22"/>
        </w:rPr>
        <w:tab/>
        <w:t>An overture ordinarily is the request of a presbytery for action by the General Assembly upon a specific matter.</w:t>
      </w:r>
    </w:p>
    <w:p w14:paraId="52245013" w14:textId="77777777" w:rsidR="00505731" w:rsidRPr="00505731" w:rsidRDefault="00505731" w:rsidP="00505731">
      <w:pPr>
        <w:tabs>
          <w:tab w:val="left" w:pos="720"/>
          <w:tab w:val="left" w:pos="1080"/>
          <w:tab w:val="left" w:pos="1440"/>
          <w:tab w:val="left" w:pos="1800"/>
        </w:tabs>
        <w:jc w:val="both"/>
        <w:rPr>
          <w:rFonts w:asciiTheme="minorHAnsi" w:hAnsiTheme="minorHAnsi" w:cstheme="minorHAnsi"/>
          <w:b/>
          <w:szCs w:val="22"/>
        </w:rPr>
      </w:pPr>
    </w:p>
    <w:p w14:paraId="5620D087" w14:textId="2C5C8777" w:rsidR="00505731" w:rsidRPr="00505731" w:rsidRDefault="00505731" w:rsidP="00505731">
      <w:pPr>
        <w:tabs>
          <w:tab w:val="left" w:pos="0"/>
          <w:tab w:val="left" w:pos="1080"/>
          <w:tab w:val="left" w:pos="1440"/>
          <w:tab w:val="left" w:pos="1800"/>
        </w:tabs>
        <w:jc w:val="both"/>
        <w:rPr>
          <w:rFonts w:asciiTheme="minorHAnsi" w:hAnsiTheme="minorHAnsi" w:cstheme="minorHAnsi"/>
          <w:color w:val="000000"/>
        </w:rPr>
      </w:pPr>
      <w:r w:rsidRPr="00505731">
        <w:rPr>
          <w:rFonts w:asciiTheme="minorHAnsi" w:hAnsiTheme="minorHAnsi" w:cstheme="minorHAnsi"/>
          <w:noProof/>
        </w:rPr>
        <mc:AlternateContent>
          <mc:Choice Requires="wps">
            <w:drawing>
              <wp:anchor distT="0" distB="0" distL="114300" distR="114300" simplePos="0" relativeHeight="251660288" behindDoc="1" locked="0" layoutInCell="1" allowOverlap="1" wp14:anchorId="343ACCEE" wp14:editId="4ED48E8B">
                <wp:simplePos x="0" y="0"/>
                <wp:positionH relativeFrom="rightMargin">
                  <wp:align>left</wp:align>
                </wp:positionH>
                <wp:positionV relativeFrom="paragraph">
                  <wp:posOffset>1758315</wp:posOffset>
                </wp:positionV>
                <wp:extent cx="286385" cy="1047750"/>
                <wp:effectExtent l="0" t="0" r="0"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385" cy="1047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90C569" w14:textId="77777777" w:rsidR="00505731" w:rsidRPr="008C0F21" w:rsidRDefault="00505731" w:rsidP="00505731">
                            <w:pPr>
                              <w:spacing w:after="40"/>
                              <w:rPr>
                                <w:sz w:val="20"/>
                              </w:rPr>
                            </w:pPr>
                            <w:r w:rsidRPr="008C0F21">
                              <w:rPr>
                                <w:sz w:val="20"/>
                              </w:rPr>
                              <w:sym w:font="Wingdings" w:char="006C"/>
                            </w:r>
                          </w:p>
                          <w:p w14:paraId="5CF21F6A" w14:textId="77777777" w:rsidR="00505731" w:rsidRDefault="00505731" w:rsidP="00505731">
                            <w:pPr>
                              <w:spacing w:after="40"/>
                              <w:rPr>
                                <w:sz w:val="20"/>
                              </w:rPr>
                            </w:pPr>
                            <w:r w:rsidRPr="008C0F21">
                              <w:rPr>
                                <w:sz w:val="20"/>
                              </w:rPr>
                              <w:sym w:font="Wingdings" w:char="006C"/>
                            </w:r>
                          </w:p>
                          <w:p w14:paraId="4FAC1048" w14:textId="77777777" w:rsidR="00505731" w:rsidRDefault="00505731" w:rsidP="00505731">
                            <w:pPr>
                              <w:spacing w:after="40"/>
                              <w:rPr>
                                <w:sz w:val="20"/>
                              </w:rPr>
                            </w:pPr>
                            <w:r w:rsidRPr="008C0F21">
                              <w:rPr>
                                <w:sz w:val="20"/>
                              </w:rPr>
                              <w:sym w:font="Wingdings" w:char="006C"/>
                            </w:r>
                          </w:p>
                          <w:p w14:paraId="16F96DC7" w14:textId="77777777" w:rsidR="00505731" w:rsidRPr="008C0F21" w:rsidRDefault="00505731" w:rsidP="00505731">
                            <w:pPr>
                              <w:spacing w:after="20"/>
                              <w:rPr>
                                <w:sz w:val="20"/>
                              </w:rPr>
                            </w:pPr>
                            <w:r w:rsidRPr="008C0F21">
                              <w:rPr>
                                <w:sz w:val="20"/>
                              </w:rPr>
                              <w:sym w:font="Wingdings" w:char="006C"/>
                            </w:r>
                          </w:p>
                          <w:p w14:paraId="79F53A0A" w14:textId="77777777" w:rsidR="00505731" w:rsidRDefault="00505731" w:rsidP="00505731">
                            <w:pPr>
                              <w:spacing w:after="20"/>
                              <w:rPr>
                                <w:sz w:val="20"/>
                              </w:rPr>
                            </w:pPr>
                            <w:r w:rsidRPr="008C0F21">
                              <w:rPr>
                                <w:sz w:val="20"/>
                              </w:rPr>
                              <w:sym w:font="Wingdings" w:char="006C"/>
                            </w:r>
                          </w:p>
                          <w:p w14:paraId="4FC08E2A" w14:textId="77777777" w:rsidR="00505731" w:rsidRDefault="00505731" w:rsidP="00505731">
                            <w:pPr>
                              <w:spacing w:after="20"/>
                              <w:rPr>
                                <w:sz w:val="20"/>
                              </w:rPr>
                            </w:pPr>
                            <w:r w:rsidRPr="008C0F21">
                              <w:rPr>
                                <w:sz w:val="20"/>
                              </w:rPr>
                              <w:sym w:font="Wingdings" w:char="006C"/>
                            </w:r>
                          </w:p>
                          <w:p w14:paraId="291AB6E7" w14:textId="77777777" w:rsidR="00505731" w:rsidRDefault="00505731" w:rsidP="00505731">
                            <w:pPr>
                              <w:spacing w:after="20"/>
                              <w:rPr>
                                <w:sz w:val="20"/>
                              </w:rPr>
                            </w:pPr>
                          </w:p>
                          <w:p w14:paraId="00E78700" w14:textId="77777777" w:rsidR="00505731" w:rsidRDefault="00505731" w:rsidP="00505731">
                            <w:pPr>
                              <w:spacing w:after="20"/>
                              <w:rPr>
                                <w:sz w:val="20"/>
                              </w:rPr>
                            </w:pPr>
                          </w:p>
                          <w:p w14:paraId="4D32BEA0" w14:textId="77777777" w:rsidR="00505731" w:rsidRPr="008C0F21" w:rsidRDefault="00505731" w:rsidP="00505731">
                            <w:pPr>
                              <w:spacing w:after="20"/>
                              <w:rPr>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3ACCEE" id="_x0000_t202" coordsize="21600,21600" o:spt="202" path="m,l,21600r21600,l21600,xe">
                <v:stroke joinstyle="miter"/>
                <v:path gradientshapeok="t" o:connecttype="rect"/>
              </v:shapetype>
              <v:shape id="Text Box 20" o:spid="_x0000_s1026" type="#_x0000_t202" style="position:absolute;left:0;text-align:left;margin-left:0;margin-top:138.45pt;width:22.55pt;height:82.5pt;z-index:-251656192;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" stroked="f">
                <v:textbox>
                  <w:txbxContent>
                    <w:p w14:paraId="5090C569" w14:textId="77777777" w:rsidR="00505731" w:rsidRPr="008C0F21" w:rsidRDefault="00505731" w:rsidP="00505731">
                      <w:pPr>
                        <w:spacing w:after="40"/>
                        <w:rPr>
                          <w:sz w:val="20"/>
                        </w:rPr>
                      </w:pPr>
                      <w:r w:rsidRPr="008C0F21">
                        <w:rPr>
                          <w:sz w:val="20"/>
                        </w:rPr>
                        <w:sym w:font="Wingdings" w:char="006C"/>
                      </w:r>
                    </w:p>
                    <w:p w14:paraId="5CF21F6A" w14:textId="77777777" w:rsidR="00505731" w:rsidRDefault="00505731" w:rsidP="00505731">
                      <w:pPr>
                        <w:spacing w:after="40"/>
                        <w:rPr>
                          <w:sz w:val="20"/>
                        </w:rPr>
                      </w:pPr>
                      <w:r w:rsidRPr="008C0F21">
                        <w:rPr>
                          <w:sz w:val="20"/>
                        </w:rPr>
                        <w:sym w:font="Wingdings" w:char="006C"/>
                      </w:r>
                    </w:p>
                    <w:p w14:paraId="4FAC1048" w14:textId="77777777" w:rsidR="00505731" w:rsidRDefault="00505731" w:rsidP="00505731">
                      <w:pPr>
                        <w:spacing w:after="40"/>
                        <w:rPr>
                          <w:sz w:val="20"/>
                        </w:rPr>
                      </w:pPr>
                      <w:r w:rsidRPr="008C0F21">
                        <w:rPr>
                          <w:sz w:val="20"/>
                        </w:rPr>
                        <w:sym w:font="Wingdings" w:char="006C"/>
                      </w:r>
                    </w:p>
                    <w:p w14:paraId="16F96DC7" w14:textId="77777777" w:rsidR="00505731" w:rsidRPr="008C0F21" w:rsidRDefault="00505731" w:rsidP="00505731">
                      <w:pPr>
                        <w:spacing w:after="20"/>
                        <w:rPr>
                          <w:sz w:val="20"/>
                        </w:rPr>
                      </w:pPr>
                      <w:r w:rsidRPr="008C0F21">
                        <w:rPr>
                          <w:sz w:val="20"/>
                        </w:rPr>
                        <w:sym w:font="Wingdings" w:char="006C"/>
                      </w:r>
                    </w:p>
                    <w:p w14:paraId="79F53A0A" w14:textId="77777777" w:rsidR="00505731" w:rsidRDefault="00505731" w:rsidP="00505731">
                      <w:pPr>
                        <w:spacing w:after="20"/>
                        <w:rPr>
                          <w:sz w:val="20"/>
                        </w:rPr>
                      </w:pPr>
                      <w:r w:rsidRPr="008C0F21">
                        <w:rPr>
                          <w:sz w:val="20"/>
                        </w:rPr>
                        <w:sym w:font="Wingdings" w:char="006C"/>
                      </w:r>
                    </w:p>
                    <w:p w14:paraId="4FC08E2A" w14:textId="77777777" w:rsidR="00505731" w:rsidRDefault="00505731" w:rsidP="00505731">
                      <w:pPr>
                        <w:spacing w:after="20"/>
                        <w:rPr>
                          <w:sz w:val="20"/>
                        </w:rPr>
                      </w:pPr>
                      <w:r w:rsidRPr="008C0F21">
                        <w:rPr>
                          <w:sz w:val="20"/>
                        </w:rPr>
                        <w:sym w:font="Wingdings" w:char="006C"/>
                      </w:r>
                    </w:p>
                    <w:p w14:paraId="291AB6E7" w14:textId="77777777" w:rsidR="00505731" w:rsidRDefault="00505731" w:rsidP="00505731">
                      <w:pPr>
                        <w:spacing w:after="20"/>
                        <w:rPr>
                          <w:sz w:val="20"/>
                        </w:rPr>
                      </w:pPr>
                    </w:p>
                    <w:p w14:paraId="00E78700" w14:textId="77777777" w:rsidR="00505731" w:rsidRDefault="00505731" w:rsidP="00505731">
                      <w:pPr>
                        <w:spacing w:after="20"/>
                        <w:rPr>
                          <w:sz w:val="20"/>
                        </w:rPr>
                      </w:pPr>
                    </w:p>
                    <w:p w14:paraId="4D32BEA0" w14:textId="77777777" w:rsidR="00505731" w:rsidRPr="008C0F21" w:rsidRDefault="00505731" w:rsidP="00505731">
                      <w:pPr>
                        <w:spacing w:after="20"/>
                        <w:rPr>
                          <w:sz w:val="20"/>
                        </w:rPr>
                      </w:pPr>
                    </w:p>
                  </w:txbxContent>
                </v:textbox>
                <w10:wrap anchorx="margin"/>
              </v:shape>
            </w:pict>
          </mc:Fallback>
        </mc:AlternateContent>
      </w:r>
      <w:r w:rsidRPr="00505731">
        <w:rPr>
          <w:rFonts w:asciiTheme="minorHAnsi" w:hAnsiTheme="minorHAnsi" w:cstheme="minorHAnsi"/>
          <w:b/>
        </w:rPr>
        <w:t>11-5.</w:t>
      </w:r>
      <w:r w:rsidRPr="00505731">
        <w:rPr>
          <w:rFonts w:asciiTheme="minorHAnsi" w:hAnsiTheme="minorHAnsi" w:cstheme="minorHAnsi"/>
        </w:rPr>
        <w:tab/>
        <w:t xml:space="preserve">Upon receipt the Stated Clerk shall refer all overtures requesting amendment of the </w:t>
      </w:r>
      <w:r w:rsidRPr="00505731">
        <w:rPr>
          <w:rFonts w:asciiTheme="minorHAnsi" w:hAnsiTheme="minorHAnsi" w:cstheme="minorHAnsi"/>
          <w:i/>
        </w:rPr>
        <w:t xml:space="preserve">Book of Church Order </w:t>
      </w:r>
      <w:r w:rsidRPr="00505731">
        <w:rPr>
          <w:rFonts w:asciiTheme="minorHAnsi" w:hAnsiTheme="minorHAnsi" w:cstheme="minorHAnsi"/>
        </w:rPr>
        <w:t xml:space="preserve">or the </w:t>
      </w:r>
      <w:r w:rsidRPr="00505731">
        <w:rPr>
          <w:rFonts w:asciiTheme="minorHAnsi" w:hAnsiTheme="minorHAnsi" w:cstheme="minorHAnsi"/>
          <w:i/>
        </w:rPr>
        <w:t xml:space="preserve">Rules of Assembly Operations </w:t>
      </w:r>
      <w:r w:rsidRPr="00505731">
        <w:rPr>
          <w:rFonts w:asciiTheme="minorHAnsi" w:hAnsiTheme="minorHAnsi" w:cstheme="minorHAnsi"/>
        </w:rPr>
        <w:t xml:space="preserve">to the Committee on Constitutional Business for its advice to the Overtures Committee. Upon receipt, the Stated Clerk shall forward </w:t>
      </w:r>
      <w:r w:rsidRPr="00505731">
        <w:rPr>
          <w:rFonts w:asciiTheme="minorHAnsi" w:hAnsiTheme="minorHAnsi" w:cstheme="minorHAnsi"/>
        </w:rPr>
        <w:lastRenderedPageBreak/>
        <w:t xml:space="preserve">all overtures concerning presbytery boundaries or a new presbytery to the permanent Committee on Mission to North America. </w:t>
      </w:r>
      <w:r w:rsidRPr="00505731">
        <w:rPr>
          <w:rFonts w:asciiTheme="minorHAnsi" w:hAnsiTheme="minorHAnsi" w:cstheme="minorHAnsi"/>
          <w:szCs w:val="22"/>
        </w:rPr>
        <w:t xml:space="preserve">Any overture, other than an overture proposing amendment to the Constitution </w:t>
      </w:r>
      <w:r w:rsidRPr="00505731">
        <w:rPr>
          <w:rFonts w:asciiTheme="minorHAnsi" w:hAnsiTheme="minorHAnsi" w:cstheme="minorHAnsi"/>
        </w:rPr>
        <w:t xml:space="preserve">(which shall be referred to the Committee on Constitutional Business for its advice to the Overtures Committee), </w:t>
      </w:r>
      <w:r w:rsidRPr="00505731">
        <w:rPr>
          <w:rFonts w:asciiTheme="minorHAnsi" w:hAnsiTheme="minorHAnsi" w:cstheme="minorHAnsi"/>
          <w:szCs w:val="22"/>
        </w:rPr>
        <w:t>having to do with the nature or responsibilities of a permanent Committee or Agency</w:t>
      </w:r>
      <w:r w:rsidRPr="00505731">
        <w:rPr>
          <w:rFonts w:asciiTheme="minorHAnsi" w:hAnsiTheme="minorHAnsi" w:cstheme="minorHAnsi"/>
        </w:rPr>
        <w:t xml:space="preserve"> shall be referred by the Clerk to the appropriate </w:t>
      </w:r>
      <w:r w:rsidRPr="00505731">
        <w:rPr>
          <w:rFonts w:asciiTheme="minorHAnsi" w:hAnsiTheme="minorHAnsi" w:cstheme="minorHAnsi"/>
          <w:color w:val="000000"/>
        </w:rPr>
        <w:t xml:space="preserve">permanent Committee or Agency or ad interim committee. All other overtures shall be referred to the Overtures Committee. </w:t>
      </w:r>
      <w:r w:rsidRPr="00505731">
        <w:rPr>
          <w:rFonts w:asciiTheme="minorHAnsi" w:hAnsiTheme="minorHAnsi" w:cstheme="minorHAnsi"/>
          <w:noProof/>
        </w:rPr>
        <w:t xml:space="preserve">An overture proposing amendment to the Constitution shall be referred only to the Overtures Committee for consideration and recommendation; such an overture, however, may be referred to other Committees of Commissioners, other permanent Committees or Agencies, or other ad interim committees for advice only, to the Overtures Committee. </w:t>
      </w:r>
      <w:r w:rsidRPr="00505731">
        <w:rPr>
          <w:rFonts w:asciiTheme="minorHAnsi" w:hAnsiTheme="minorHAnsi" w:cstheme="minorHAnsi"/>
          <w:color w:val="000000"/>
        </w:rPr>
        <w:t xml:space="preserve">All overtures shall be published in the </w:t>
      </w:r>
      <w:r w:rsidRPr="00505731">
        <w:rPr>
          <w:rFonts w:asciiTheme="minorHAnsi" w:hAnsiTheme="minorHAnsi" w:cstheme="minorHAnsi"/>
          <w:i/>
          <w:color w:val="000000"/>
        </w:rPr>
        <w:t>Commissioner Handbook</w:t>
      </w:r>
      <w:r w:rsidRPr="00505731">
        <w:rPr>
          <w:rFonts w:asciiTheme="minorHAnsi" w:hAnsiTheme="minorHAnsi" w:cstheme="minorHAnsi"/>
          <w:color w:val="000000"/>
        </w:rPr>
        <w:t xml:space="preserve"> with reference for consideration indicated.</w:t>
      </w:r>
    </w:p>
    <w:p w14:paraId="5F027AAC" w14:textId="77777777" w:rsidR="00505731" w:rsidRPr="00505731" w:rsidRDefault="00505731" w:rsidP="00505731">
      <w:pPr>
        <w:tabs>
          <w:tab w:val="left" w:pos="0"/>
          <w:tab w:val="left" w:pos="720"/>
          <w:tab w:val="left" w:pos="1080"/>
          <w:tab w:val="left" w:pos="1440"/>
          <w:tab w:val="left" w:pos="1800"/>
        </w:tabs>
        <w:jc w:val="both"/>
        <w:rPr>
          <w:rFonts w:asciiTheme="minorHAnsi" w:hAnsiTheme="minorHAnsi" w:cstheme="minorHAnsi"/>
          <w:b/>
          <w:szCs w:val="22"/>
        </w:rPr>
      </w:pPr>
    </w:p>
    <w:p w14:paraId="43ECACE6" w14:textId="63EB900F" w:rsidR="00505731" w:rsidRPr="00505731" w:rsidRDefault="00505731" w:rsidP="00505731">
      <w:pPr>
        <w:tabs>
          <w:tab w:val="left" w:pos="0"/>
          <w:tab w:val="left" w:pos="720"/>
          <w:tab w:val="left" w:pos="1080"/>
          <w:tab w:val="left" w:pos="1440"/>
          <w:tab w:val="left" w:pos="1800"/>
        </w:tabs>
        <w:jc w:val="both"/>
        <w:rPr>
          <w:rFonts w:asciiTheme="minorHAnsi" w:hAnsiTheme="minorHAnsi" w:cstheme="minorHAnsi"/>
          <w:color w:val="000000"/>
        </w:rPr>
      </w:pPr>
      <w:r w:rsidRPr="00505731">
        <w:rPr>
          <w:rFonts w:asciiTheme="minorHAnsi" w:hAnsiTheme="minorHAnsi" w:cstheme="minorHAnsi"/>
          <w:b/>
          <w:szCs w:val="22"/>
        </w:rPr>
        <w:t>11-6.</w:t>
      </w:r>
      <w:r w:rsidRPr="00505731">
        <w:rPr>
          <w:rFonts w:asciiTheme="minorHAnsi" w:hAnsiTheme="minorHAnsi" w:cstheme="minorHAnsi"/>
          <w:szCs w:val="22"/>
        </w:rPr>
        <w:t xml:space="preserve"> </w:t>
      </w:r>
      <w:r w:rsidRPr="00505731">
        <w:rPr>
          <w:rFonts w:asciiTheme="minorHAnsi" w:hAnsiTheme="minorHAnsi" w:cstheme="minorHAnsi"/>
          <w:szCs w:val="22"/>
        </w:rPr>
        <w:tab/>
      </w:r>
      <w:r w:rsidRPr="00505731">
        <w:rPr>
          <w:rFonts w:asciiTheme="minorHAnsi" w:hAnsiTheme="minorHAnsi" w:cstheme="minorHAnsi"/>
          <w:spacing w:val="-2"/>
          <w:szCs w:val="22"/>
        </w:rPr>
        <w:t>All overtures requiring references to the Committee on Constitutional</w:t>
      </w:r>
      <w:r w:rsidRPr="00505731">
        <w:rPr>
          <w:rFonts w:asciiTheme="minorHAnsi" w:hAnsiTheme="minorHAnsi" w:cstheme="minorHAnsi"/>
          <w:szCs w:val="22"/>
        </w:rPr>
        <w:t xml:space="preserve"> Business shall be delivered by at least sixty (60) days prior to the opening of the General Assembly to the </w:t>
      </w:r>
      <w:smartTag w:uri="urn:schemas-microsoft-com:office:smarttags" w:element="PersonName">
        <w:r w:rsidRPr="00505731">
          <w:rPr>
            <w:rFonts w:asciiTheme="minorHAnsi" w:hAnsiTheme="minorHAnsi" w:cstheme="minorHAnsi"/>
            <w:szCs w:val="22"/>
          </w:rPr>
          <w:t>Stated Clerk</w:t>
        </w:r>
      </w:smartTag>
      <w:r w:rsidRPr="00505731">
        <w:rPr>
          <w:rFonts w:asciiTheme="minorHAnsi" w:hAnsiTheme="minorHAnsi" w:cstheme="minorHAnsi"/>
          <w:szCs w:val="22"/>
        </w:rPr>
        <w:t xml:space="preserve"> in order to be referred to the committee.  No overture requiring reference to the permanent Committee on Constitutional Business received later than sixty (60) days prior to the opening of the General Assembly by the </w:t>
      </w:r>
      <w:smartTag w:uri="urn:schemas-microsoft-com:office:smarttags" w:element="PersonName">
        <w:r w:rsidRPr="00505731">
          <w:rPr>
            <w:rFonts w:asciiTheme="minorHAnsi" w:hAnsiTheme="minorHAnsi" w:cstheme="minorHAnsi"/>
            <w:szCs w:val="22"/>
          </w:rPr>
          <w:t>Stated Clerk</w:t>
        </w:r>
      </w:smartTag>
      <w:r w:rsidRPr="00505731">
        <w:rPr>
          <w:rFonts w:asciiTheme="minorHAnsi" w:hAnsiTheme="minorHAnsi" w:cstheme="minorHAnsi"/>
          <w:szCs w:val="22"/>
        </w:rPr>
        <w:t xml:space="preserve"> shall be referred or considered by the General Assembly convening in that year.</w:t>
      </w:r>
    </w:p>
    <w:p w14:paraId="69B1D5EF" w14:textId="77777777" w:rsidR="00505731" w:rsidRPr="00505731" w:rsidRDefault="00505731" w:rsidP="00505731">
      <w:pPr>
        <w:tabs>
          <w:tab w:val="left" w:pos="720"/>
          <w:tab w:val="left" w:pos="1080"/>
          <w:tab w:val="left" w:pos="1440"/>
          <w:tab w:val="left" w:pos="1800"/>
        </w:tabs>
        <w:rPr>
          <w:rFonts w:asciiTheme="minorHAnsi" w:hAnsiTheme="minorHAnsi" w:cstheme="minorHAnsi"/>
          <w:szCs w:val="22"/>
        </w:rPr>
      </w:pPr>
    </w:p>
    <w:p w14:paraId="66691E9E" w14:textId="77777777" w:rsidR="00505731" w:rsidRPr="00505731" w:rsidRDefault="00505731" w:rsidP="00505731">
      <w:pPr>
        <w:tabs>
          <w:tab w:val="left" w:pos="720"/>
          <w:tab w:val="left" w:pos="1080"/>
          <w:tab w:val="left" w:pos="1440"/>
          <w:tab w:val="left" w:pos="1800"/>
        </w:tabs>
        <w:jc w:val="both"/>
        <w:rPr>
          <w:rFonts w:asciiTheme="minorHAnsi" w:hAnsiTheme="minorHAnsi" w:cstheme="minorHAnsi"/>
          <w:szCs w:val="22"/>
        </w:rPr>
      </w:pPr>
      <w:r w:rsidRPr="00505731">
        <w:rPr>
          <w:rFonts w:asciiTheme="minorHAnsi" w:hAnsiTheme="minorHAnsi" w:cstheme="minorHAnsi"/>
          <w:b/>
          <w:szCs w:val="22"/>
        </w:rPr>
        <w:t>11-7.</w:t>
      </w:r>
      <w:r w:rsidRPr="00505731">
        <w:rPr>
          <w:rFonts w:asciiTheme="minorHAnsi" w:hAnsiTheme="minorHAnsi" w:cstheme="minorHAnsi"/>
          <w:szCs w:val="22"/>
        </w:rPr>
        <w:tab/>
        <w:t xml:space="preserve">All other overtures shall be delivered to the </w:t>
      </w:r>
      <w:smartTag w:uri="urn:schemas-microsoft-com:office:smarttags" w:element="PersonName">
        <w:r w:rsidRPr="00505731">
          <w:rPr>
            <w:rFonts w:asciiTheme="minorHAnsi" w:hAnsiTheme="minorHAnsi" w:cstheme="minorHAnsi"/>
            <w:szCs w:val="22"/>
          </w:rPr>
          <w:t>Stated Clerk</w:t>
        </w:r>
      </w:smartTag>
      <w:r w:rsidRPr="00505731">
        <w:rPr>
          <w:rFonts w:asciiTheme="minorHAnsi" w:hAnsiTheme="minorHAnsi" w:cstheme="minorHAnsi"/>
          <w:szCs w:val="22"/>
        </w:rPr>
        <w:t xml:space="preserve"> at least ninety (90) days prior to the opening of the General Assembly in order to be included in the </w:t>
      </w:r>
      <w:r w:rsidRPr="00505731">
        <w:rPr>
          <w:rFonts w:asciiTheme="minorHAnsi" w:hAnsiTheme="minorHAnsi" w:cstheme="minorHAnsi"/>
          <w:i/>
          <w:iCs/>
          <w:szCs w:val="22"/>
        </w:rPr>
        <w:t>Commissioner</w:t>
      </w:r>
      <w:r w:rsidRPr="00505731">
        <w:rPr>
          <w:rFonts w:asciiTheme="minorHAnsi" w:hAnsiTheme="minorHAnsi" w:cstheme="minorHAnsi"/>
          <w:szCs w:val="22"/>
        </w:rPr>
        <w:t xml:space="preserve"> </w:t>
      </w:r>
      <w:r w:rsidRPr="00505731">
        <w:rPr>
          <w:rFonts w:asciiTheme="minorHAnsi" w:hAnsiTheme="minorHAnsi" w:cstheme="minorHAnsi"/>
          <w:i/>
          <w:szCs w:val="22"/>
        </w:rPr>
        <w:t>Handbook</w:t>
      </w:r>
      <w:r w:rsidRPr="00505731">
        <w:rPr>
          <w:rFonts w:asciiTheme="minorHAnsi" w:hAnsiTheme="minorHAnsi" w:cstheme="minorHAnsi"/>
          <w:szCs w:val="22"/>
        </w:rPr>
        <w:t xml:space="preserve"> for the next meeting of the General Assembly.</w:t>
      </w:r>
    </w:p>
    <w:p w14:paraId="69C889B5" w14:textId="77777777" w:rsidR="00505731" w:rsidRPr="00505731" w:rsidRDefault="00505731" w:rsidP="00505731">
      <w:pPr>
        <w:tabs>
          <w:tab w:val="left" w:pos="720"/>
          <w:tab w:val="left" w:pos="1080"/>
          <w:tab w:val="left" w:pos="1440"/>
          <w:tab w:val="left" w:pos="1800"/>
        </w:tabs>
        <w:jc w:val="both"/>
        <w:rPr>
          <w:rFonts w:asciiTheme="minorHAnsi" w:hAnsiTheme="minorHAnsi" w:cstheme="minorHAnsi"/>
          <w:szCs w:val="22"/>
        </w:rPr>
      </w:pPr>
    </w:p>
    <w:p w14:paraId="4D57DDB0" w14:textId="77777777" w:rsidR="00505731" w:rsidRPr="00505731" w:rsidRDefault="00505731" w:rsidP="00505731">
      <w:pPr>
        <w:tabs>
          <w:tab w:val="left" w:pos="720"/>
          <w:tab w:val="left" w:pos="1080"/>
          <w:tab w:val="left" w:pos="1440"/>
          <w:tab w:val="left" w:pos="1800"/>
        </w:tabs>
        <w:jc w:val="both"/>
        <w:rPr>
          <w:rFonts w:asciiTheme="minorHAnsi" w:hAnsiTheme="minorHAnsi" w:cstheme="minorHAnsi"/>
          <w:szCs w:val="22"/>
        </w:rPr>
      </w:pPr>
      <w:r w:rsidRPr="00505731">
        <w:rPr>
          <w:rFonts w:asciiTheme="minorHAnsi" w:hAnsiTheme="minorHAnsi" w:cstheme="minorHAnsi"/>
          <w:b/>
          <w:szCs w:val="22"/>
        </w:rPr>
        <w:t>11-8.</w:t>
      </w:r>
      <w:r w:rsidRPr="00505731">
        <w:rPr>
          <w:rFonts w:asciiTheme="minorHAnsi" w:hAnsiTheme="minorHAnsi" w:cstheme="minorHAnsi"/>
          <w:szCs w:val="22"/>
        </w:rPr>
        <w:tab/>
        <w:t xml:space="preserve">Overtures received after the </w:t>
      </w:r>
      <w:r w:rsidRPr="00505731">
        <w:rPr>
          <w:rFonts w:asciiTheme="minorHAnsi" w:hAnsiTheme="minorHAnsi" w:cstheme="minorHAnsi"/>
          <w:i/>
          <w:iCs/>
          <w:szCs w:val="22"/>
        </w:rPr>
        <w:t>Commissioner</w:t>
      </w:r>
      <w:r w:rsidRPr="00505731">
        <w:rPr>
          <w:rFonts w:asciiTheme="minorHAnsi" w:hAnsiTheme="minorHAnsi" w:cstheme="minorHAnsi"/>
          <w:szCs w:val="22"/>
        </w:rPr>
        <w:t xml:space="preserve"> </w:t>
      </w:r>
      <w:r w:rsidRPr="00505731">
        <w:rPr>
          <w:rFonts w:asciiTheme="minorHAnsi" w:hAnsiTheme="minorHAnsi" w:cstheme="minorHAnsi"/>
          <w:i/>
          <w:szCs w:val="22"/>
        </w:rPr>
        <w:t>Handbook</w:t>
      </w:r>
      <w:r w:rsidRPr="00505731">
        <w:rPr>
          <w:rFonts w:asciiTheme="minorHAnsi" w:hAnsiTheme="minorHAnsi" w:cstheme="minorHAnsi"/>
          <w:szCs w:val="22"/>
        </w:rPr>
        <w:t xml:space="preserve"> is published, and at least one (1) month (31 days) prior to the opening of the General Assembly shall be reported to the Assembly by the </w:t>
      </w:r>
      <w:smartTag w:uri="urn:schemas-microsoft-com:office:smarttags" w:element="PersonName">
        <w:r w:rsidRPr="00505731">
          <w:rPr>
            <w:rFonts w:asciiTheme="minorHAnsi" w:hAnsiTheme="minorHAnsi" w:cstheme="minorHAnsi"/>
            <w:szCs w:val="22"/>
          </w:rPr>
          <w:t>Stated Clerk</w:t>
        </w:r>
      </w:smartTag>
      <w:r w:rsidRPr="00505731">
        <w:rPr>
          <w:rFonts w:asciiTheme="minorHAnsi" w:hAnsiTheme="minorHAnsi" w:cstheme="minorHAnsi"/>
          <w:szCs w:val="22"/>
        </w:rPr>
        <w:t>, together with reference.</w:t>
      </w:r>
    </w:p>
    <w:p w14:paraId="3EE08939" w14:textId="77777777" w:rsidR="00505731" w:rsidRPr="00505731" w:rsidRDefault="00505731" w:rsidP="00505731">
      <w:pPr>
        <w:tabs>
          <w:tab w:val="left" w:pos="720"/>
          <w:tab w:val="left" w:pos="1080"/>
          <w:tab w:val="left" w:pos="1440"/>
          <w:tab w:val="left" w:pos="1800"/>
        </w:tabs>
        <w:jc w:val="both"/>
        <w:rPr>
          <w:rFonts w:asciiTheme="minorHAnsi" w:hAnsiTheme="minorHAnsi" w:cstheme="minorHAnsi"/>
          <w:szCs w:val="22"/>
        </w:rPr>
      </w:pPr>
    </w:p>
    <w:p w14:paraId="46FD12D8" w14:textId="77777777" w:rsidR="00505731" w:rsidRPr="00505731" w:rsidRDefault="00505731" w:rsidP="00505731">
      <w:pPr>
        <w:tabs>
          <w:tab w:val="left" w:pos="0"/>
          <w:tab w:val="left" w:pos="720"/>
          <w:tab w:val="left" w:pos="1080"/>
          <w:tab w:val="left" w:pos="1440"/>
          <w:tab w:val="left" w:pos="1800"/>
        </w:tabs>
        <w:jc w:val="both"/>
        <w:rPr>
          <w:rFonts w:asciiTheme="minorHAnsi" w:hAnsiTheme="minorHAnsi" w:cstheme="minorHAnsi"/>
          <w:i/>
          <w:iCs/>
          <w:color w:val="000000"/>
          <w:u w:val="single"/>
        </w:rPr>
      </w:pPr>
      <w:r w:rsidRPr="00505731">
        <w:rPr>
          <w:rFonts w:asciiTheme="minorHAnsi" w:hAnsiTheme="minorHAnsi" w:cstheme="minorHAnsi"/>
          <w:b/>
        </w:rPr>
        <w:t>11-9.</w:t>
      </w:r>
      <w:r w:rsidRPr="00505731">
        <w:rPr>
          <w:rFonts w:asciiTheme="minorHAnsi" w:hAnsiTheme="minorHAnsi" w:cstheme="minorHAnsi"/>
        </w:rPr>
        <w:tab/>
        <w:t>No overtures received by the Stated Clerk less than one month prior to the opening of the meeting of the General Assembly shall be referred to or considered by the General Assembly convening in that year. An overture proposed by a commissioner to the General Assembly during its proceedings shall be treated as new business (cf. 13-1, 13-2).</w:t>
      </w:r>
    </w:p>
    <w:p w14:paraId="75C8B8B7" w14:textId="77777777" w:rsidR="00505731" w:rsidRPr="00505731" w:rsidRDefault="00505731" w:rsidP="00505731">
      <w:pPr>
        <w:tabs>
          <w:tab w:val="left" w:pos="720"/>
          <w:tab w:val="left" w:pos="1080"/>
          <w:tab w:val="left" w:pos="1440"/>
          <w:tab w:val="left" w:pos="1800"/>
        </w:tabs>
        <w:jc w:val="both"/>
        <w:rPr>
          <w:rFonts w:asciiTheme="minorHAnsi" w:hAnsiTheme="minorHAnsi" w:cstheme="minorHAnsi"/>
          <w:b/>
          <w:szCs w:val="22"/>
        </w:rPr>
      </w:pPr>
    </w:p>
    <w:p w14:paraId="306332ED" w14:textId="77777777" w:rsidR="00505731" w:rsidRPr="00505731" w:rsidRDefault="00505731" w:rsidP="00505731">
      <w:pPr>
        <w:tabs>
          <w:tab w:val="left" w:pos="720"/>
          <w:tab w:val="left" w:pos="1080"/>
          <w:tab w:val="left" w:pos="1440"/>
          <w:tab w:val="left" w:pos="1800"/>
        </w:tabs>
        <w:jc w:val="both"/>
        <w:rPr>
          <w:rFonts w:asciiTheme="minorHAnsi" w:hAnsiTheme="minorHAnsi" w:cstheme="minorHAnsi"/>
          <w:szCs w:val="22"/>
        </w:rPr>
      </w:pPr>
      <w:r w:rsidRPr="00505731">
        <w:rPr>
          <w:rFonts w:asciiTheme="minorHAnsi" w:hAnsiTheme="minorHAnsi" w:cstheme="minorHAnsi"/>
          <w:b/>
          <w:szCs w:val="22"/>
        </w:rPr>
        <w:t>11-10.</w:t>
      </w:r>
      <w:r w:rsidRPr="00505731">
        <w:rPr>
          <w:rFonts w:asciiTheme="minorHAnsi" w:hAnsiTheme="minorHAnsi" w:cstheme="minorHAnsi"/>
          <w:szCs w:val="22"/>
        </w:rPr>
        <w:tab/>
        <w:t>No overture will be considered by the General Assembly until it first has been presented to a presbytery.  If approved by the presbytery, it will come before the Assembly as the overture of that court.  An overture requested by an individual communicant, a teaching elder, or a session, but rejected by the presbytery, may be presented to the Assembly, provided the fact that it was rejected by the presbytery is clearly stated with the overture.</w:t>
      </w:r>
    </w:p>
    <w:p w14:paraId="68A57E0B" w14:textId="77777777" w:rsidR="00505731" w:rsidRPr="00505731" w:rsidRDefault="00505731" w:rsidP="00505731">
      <w:pPr>
        <w:tabs>
          <w:tab w:val="left" w:pos="720"/>
          <w:tab w:val="left" w:pos="1080"/>
          <w:tab w:val="left" w:pos="1440"/>
          <w:tab w:val="left" w:pos="1800"/>
        </w:tabs>
        <w:jc w:val="both"/>
        <w:rPr>
          <w:rFonts w:asciiTheme="minorHAnsi" w:hAnsiTheme="minorHAnsi" w:cstheme="minorHAnsi"/>
          <w:b/>
          <w:szCs w:val="22"/>
        </w:rPr>
      </w:pPr>
    </w:p>
    <w:p w14:paraId="2FE164EF" w14:textId="77777777" w:rsidR="00505731" w:rsidRPr="00505731" w:rsidRDefault="00505731" w:rsidP="00505731">
      <w:pPr>
        <w:tabs>
          <w:tab w:val="left" w:pos="720"/>
          <w:tab w:val="left" w:pos="1080"/>
          <w:tab w:val="left" w:pos="1440"/>
          <w:tab w:val="left" w:pos="1800"/>
        </w:tabs>
        <w:jc w:val="both"/>
        <w:rPr>
          <w:rFonts w:asciiTheme="minorHAnsi" w:hAnsiTheme="minorHAnsi" w:cstheme="minorHAnsi"/>
          <w:szCs w:val="22"/>
        </w:rPr>
      </w:pPr>
      <w:r w:rsidRPr="00505731">
        <w:rPr>
          <w:rFonts w:asciiTheme="minorHAnsi" w:hAnsiTheme="minorHAnsi" w:cstheme="minorHAnsi"/>
          <w:b/>
          <w:szCs w:val="22"/>
        </w:rPr>
        <w:t>11-11.</w:t>
      </w:r>
      <w:r w:rsidRPr="00505731">
        <w:rPr>
          <w:rFonts w:asciiTheme="minorHAnsi" w:hAnsiTheme="minorHAnsi" w:cstheme="minorHAnsi"/>
          <w:szCs w:val="22"/>
        </w:rPr>
        <w:tab/>
        <w:t>All communications or overtures which propose or request that General Assembly appoint a study committee for any purpose shall contain as a part of the request or proposal a statement of the maximum amount to be budgeted for the study committee (see 9-2).</w:t>
      </w:r>
    </w:p>
    <w:p w14:paraId="74E9DEBE" w14:textId="67B93535" w:rsidR="00505731" w:rsidRPr="00505731" w:rsidRDefault="00505731" w:rsidP="00505731">
      <w:pPr>
        <w:tabs>
          <w:tab w:val="left" w:pos="720"/>
          <w:tab w:val="left" w:pos="1080"/>
          <w:tab w:val="left" w:pos="1440"/>
          <w:tab w:val="left" w:pos="1800"/>
        </w:tabs>
        <w:jc w:val="both"/>
        <w:rPr>
          <w:rFonts w:asciiTheme="minorHAnsi" w:hAnsiTheme="minorHAnsi" w:cstheme="minorHAnsi"/>
          <w:b/>
          <w:szCs w:val="22"/>
        </w:rPr>
      </w:pPr>
    </w:p>
    <w:p w14:paraId="02C823DE" w14:textId="314A1430" w:rsidR="00505731" w:rsidRPr="00505731" w:rsidRDefault="00505731" w:rsidP="00505731">
      <w:pPr>
        <w:tabs>
          <w:tab w:val="left" w:pos="720"/>
          <w:tab w:val="left" w:pos="1080"/>
          <w:tab w:val="left" w:pos="1440"/>
          <w:tab w:val="left" w:pos="1800"/>
        </w:tabs>
        <w:jc w:val="both"/>
        <w:rPr>
          <w:rFonts w:asciiTheme="minorHAnsi" w:hAnsiTheme="minorHAnsi" w:cstheme="minorHAnsi"/>
          <w:b/>
          <w:szCs w:val="22"/>
        </w:rPr>
      </w:pPr>
      <w:r w:rsidRPr="00505731">
        <w:rPr>
          <w:rFonts w:asciiTheme="minorHAnsi" w:hAnsiTheme="minorHAnsi" w:cstheme="minorHAnsi"/>
          <w:b/>
          <w:bCs/>
          <w:color w:val="000000"/>
          <w:spacing w:val="-2"/>
        </w:rPr>
        <w:t>11-12.</w:t>
      </w:r>
      <w:r w:rsidRPr="00505731">
        <w:rPr>
          <w:rFonts w:asciiTheme="minorHAnsi" w:hAnsiTheme="minorHAnsi" w:cstheme="minorHAnsi"/>
          <w:bCs/>
          <w:color w:val="000000"/>
          <w:spacing w:val="-2"/>
        </w:rPr>
        <w:tab/>
      </w:r>
      <w:r w:rsidRPr="00505731">
        <w:rPr>
          <w:rFonts w:asciiTheme="minorHAnsi" w:hAnsiTheme="minorHAnsi" w:cstheme="minorHAnsi"/>
          <w:color w:val="222222"/>
          <w:spacing w:val="-2"/>
        </w:rPr>
        <w:t>No communication or overture shall be received that seeks to</w:t>
      </w:r>
      <w:r w:rsidRPr="00505731">
        <w:rPr>
          <w:rFonts w:asciiTheme="minorHAnsi" w:hAnsiTheme="minorHAnsi" w:cstheme="minorHAnsi"/>
          <w:color w:val="222222"/>
          <w:spacing w:val="-2"/>
        </w:rPr>
        <w:t xml:space="preserve"> memorialize someone.</w:t>
      </w:r>
      <w:bookmarkStart w:id="0" w:name="_GoBack"/>
      <w:bookmarkEnd w:id="0"/>
    </w:p>
    <w:sectPr w:rsidR="00505731" w:rsidRPr="00505731">
      <w:headerReference w:type="default" r:id="rId8"/>
      <w:footerReference w:type="default" r:id="rId9"/>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44602D" w14:textId="77777777" w:rsidR="00396E4E" w:rsidRDefault="00396E4E">
      <w:r>
        <w:separator/>
      </w:r>
    </w:p>
  </w:endnote>
  <w:endnote w:type="continuationSeparator" w:id="0">
    <w:p w14:paraId="450F5293" w14:textId="77777777" w:rsidR="00396E4E" w:rsidRDefault="00396E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AE8F9" w14:textId="77777777" w:rsidR="007465E5" w:rsidRDefault="0051338C">
    <w:pPr>
      <w:pStyle w:val="Footer"/>
      <w:jc w:val="right"/>
    </w:pPr>
    <w:r>
      <w:t>1</w:t>
    </w:r>
    <w:r w:rsidR="00D51231">
      <w:t>1/15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3DA00F" w14:textId="77777777" w:rsidR="00396E4E" w:rsidRDefault="00396E4E">
      <w:r>
        <w:separator/>
      </w:r>
    </w:p>
  </w:footnote>
  <w:footnote w:type="continuationSeparator" w:id="0">
    <w:p w14:paraId="66056D00" w14:textId="77777777" w:rsidR="00396E4E" w:rsidRDefault="00396E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907E63" w14:textId="30218B7A" w:rsidR="007465E5" w:rsidRDefault="007465E5">
    <w:pPr>
      <w:pStyle w:val="Header"/>
      <w:jc w:val="right"/>
    </w:pPr>
    <w:r>
      <w:t>047-</w:t>
    </w:r>
    <w:r>
      <w:rPr>
        <w:rStyle w:val="PageNumber"/>
      </w:rPr>
      <w:fldChar w:fldCharType="begin"/>
    </w:r>
    <w:r>
      <w:rPr>
        <w:rStyle w:val="PageNumber"/>
      </w:rPr>
      <w:instrText xml:space="preserve"> PAGE </w:instrText>
    </w:r>
    <w:r>
      <w:rPr>
        <w:rStyle w:val="PageNumber"/>
      </w:rPr>
      <w:fldChar w:fldCharType="separate"/>
    </w:r>
    <w:r w:rsidR="001323C2">
      <w:rPr>
        <w:rStyle w:val="PageNumber"/>
        <w:noProof/>
      </w:rPr>
      <w:t>1</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175FC2"/>
    <w:multiLevelType w:val="hybridMultilevel"/>
    <w:tmpl w:val="D5166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1D005CC"/>
    <w:multiLevelType w:val="hybridMultilevel"/>
    <w:tmpl w:val="3E966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0D4B"/>
    <w:rsid w:val="001323C2"/>
    <w:rsid w:val="00280A8E"/>
    <w:rsid w:val="0031079D"/>
    <w:rsid w:val="00396E4E"/>
    <w:rsid w:val="00505731"/>
    <w:rsid w:val="0051338C"/>
    <w:rsid w:val="00743F2E"/>
    <w:rsid w:val="007465E5"/>
    <w:rsid w:val="009A101C"/>
    <w:rsid w:val="00C60D4B"/>
    <w:rsid w:val="00D512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07F68C8B"/>
  <w15:docId w15:val="{6A1F8456-3E4A-4AAF-A0E1-DE2DD3CB0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qFormat/>
    <w:pPr>
      <w:keepNext/>
      <w:tabs>
        <w:tab w:val="left" w:pos="5490"/>
      </w:tabs>
      <w:spacing w:line="400" w:lineRule="exact"/>
      <w:jc w:val="center"/>
      <w:outlineLvl w:val="0"/>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pPr>
      <w:framePr w:w="7920" w:h="1980" w:hRule="exact" w:hSpace="180" w:wrap="auto" w:hAnchor="page" w:xAlign="center" w:yAlign="bottom"/>
      <w:ind w:left="2880"/>
    </w:pPr>
    <w:rPr>
      <w:rFonts w:cs="Arial"/>
      <w:szCs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basedOn w:val="DefaultParagraphFont"/>
    <w:rsid w:val="00D5123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c@pcanet.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756</Words>
  <Characters>4312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B-70</vt:lpstr>
    </vt:vector>
  </TitlesOfParts>
  <Company>Mission to North America</Company>
  <LinksUpToDate>false</LinksUpToDate>
  <CharactersWithSpaces>5058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B-70</dc:title>
  <dc:creator>Diane Hitzfeld</dc:creator>
  <cp:lastModifiedBy>Priscilla Lowrey</cp:lastModifiedBy>
  <cp:revision>4</cp:revision>
  <cp:lastPrinted>2002-08-14T21:42:00Z</cp:lastPrinted>
  <dcterms:created xsi:type="dcterms:W3CDTF">2019-11-21T16:26:00Z</dcterms:created>
  <dcterms:modified xsi:type="dcterms:W3CDTF">2020-07-22T18:34:00Z</dcterms:modified>
</cp:coreProperties>
</file>