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147EE" w14:textId="77777777" w:rsidR="00A6611A" w:rsidRPr="00E54BD0" w:rsidRDefault="00A6611A">
      <w:pPr>
        <w:pStyle w:val="BodyTextIndent"/>
        <w:ind w:left="0"/>
        <w:jc w:val="center"/>
        <w:rPr>
          <w:rStyle w:val="HTMLTypewriter"/>
          <w:rFonts w:asciiTheme="minorHAnsi" w:hAnsiTheme="minorHAnsi" w:cs="Tahoma"/>
          <w:b/>
          <w:bCs w:val="0"/>
          <w:smallCaps/>
          <w:sz w:val="28"/>
        </w:rPr>
      </w:pPr>
      <w:r w:rsidRPr="00E54BD0">
        <w:rPr>
          <w:rStyle w:val="HTMLTypewriter"/>
          <w:rFonts w:asciiTheme="minorHAnsi" w:hAnsiTheme="minorHAnsi" w:cs="Tahoma"/>
          <w:b/>
          <w:bCs w:val="0"/>
          <w:smallCaps/>
          <w:sz w:val="28"/>
        </w:rPr>
        <w:t>Directors’ and Officers’ (D&amp;O) Insurance</w:t>
      </w:r>
    </w:p>
    <w:p w14:paraId="18E155BF" w14:textId="77777777" w:rsidR="00A6611A" w:rsidRPr="00DC2D33" w:rsidRDefault="00A6611A">
      <w:pPr>
        <w:pStyle w:val="BodyTextIndent"/>
        <w:ind w:left="0"/>
        <w:rPr>
          <w:rStyle w:val="HTMLTypewriter"/>
          <w:rFonts w:asciiTheme="minorHAnsi" w:hAnsiTheme="minorHAnsi" w:cs="Times New Roman"/>
          <w:sz w:val="22"/>
          <w:szCs w:val="22"/>
        </w:rPr>
      </w:pPr>
    </w:p>
    <w:p w14:paraId="17A34386" w14:textId="77777777" w:rsidR="00A6611A" w:rsidRPr="00DC2D33" w:rsidRDefault="00A6611A">
      <w:pPr>
        <w:pStyle w:val="BodyTextIndent"/>
        <w:ind w:left="0"/>
        <w:rPr>
          <w:rStyle w:val="HTMLTypewriter"/>
          <w:rFonts w:asciiTheme="minorHAnsi" w:hAnsiTheme="minorHAnsi" w:cs="Times New Roman"/>
          <w:sz w:val="22"/>
          <w:szCs w:val="22"/>
        </w:rPr>
      </w:pPr>
    </w:p>
    <w:p w14:paraId="6D623BED" w14:textId="77777777" w:rsidR="00A6611A" w:rsidRPr="00DC2D33" w:rsidRDefault="00A6611A">
      <w:pPr>
        <w:pStyle w:val="BodyTextIndent"/>
        <w:ind w:left="0"/>
        <w:rPr>
          <w:rStyle w:val="HTMLTypewriter"/>
          <w:rFonts w:asciiTheme="minorHAnsi" w:hAnsiTheme="minorHAnsi" w:cs="Times New Roman"/>
          <w:sz w:val="22"/>
          <w:szCs w:val="22"/>
        </w:rPr>
      </w:pPr>
    </w:p>
    <w:p w14:paraId="6CA1E18A" w14:textId="77777777" w:rsidR="00A6611A" w:rsidRPr="00DC2D33" w:rsidRDefault="00A6611A">
      <w:pPr>
        <w:pStyle w:val="Heading6"/>
        <w:rPr>
          <w:rFonts w:asciiTheme="minorHAnsi" w:hAnsiTheme="minorHAnsi"/>
          <w:sz w:val="22"/>
          <w:szCs w:val="22"/>
        </w:rPr>
      </w:pPr>
      <w:r w:rsidRPr="00DC2D33">
        <w:rPr>
          <w:rFonts w:asciiTheme="minorHAnsi" w:hAnsiTheme="minorHAnsi"/>
          <w:sz w:val="22"/>
          <w:szCs w:val="22"/>
        </w:rPr>
        <w:t>The Stated Clerk’s Office strongly advises presbyteries to purchase and maintain D&amp;O Insurance</w:t>
      </w:r>
      <w:r w:rsidR="00B943D9" w:rsidRPr="00DC2D33">
        <w:rPr>
          <w:rFonts w:asciiTheme="minorHAnsi" w:hAnsiTheme="minorHAnsi"/>
          <w:sz w:val="22"/>
          <w:szCs w:val="22"/>
        </w:rPr>
        <w:t>.</w:t>
      </w:r>
    </w:p>
    <w:p w14:paraId="19566173" w14:textId="77777777" w:rsidR="00A6611A" w:rsidRPr="00DC2D33" w:rsidRDefault="00A6611A">
      <w:pPr>
        <w:ind w:right="-180"/>
        <w:rPr>
          <w:rFonts w:asciiTheme="minorHAnsi" w:hAnsiTheme="minorHAnsi" w:cs="Tahoma"/>
          <w:i/>
          <w:iCs/>
          <w:sz w:val="22"/>
          <w:szCs w:val="22"/>
        </w:rPr>
      </w:pPr>
    </w:p>
    <w:p w14:paraId="21E52510" w14:textId="77777777" w:rsidR="00A6611A" w:rsidRPr="00DC2D33" w:rsidRDefault="00A6611A">
      <w:pPr>
        <w:ind w:right="-180"/>
        <w:rPr>
          <w:rFonts w:asciiTheme="minorHAnsi" w:hAnsiTheme="minorHAnsi" w:cs="Tahoma"/>
          <w:sz w:val="22"/>
          <w:szCs w:val="22"/>
        </w:rPr>
      </w:pPr>
    </w:p>
    <w:p w14:paraId="6ECB97B3" w14:textId="77777777" w:rsidR="00A6611A" w:rsidRPr="00DC2D33" w:rsidRDefault="00A6611A">
      <w:pPr>
        <w:ind w:right="-180"/>
        <w:rPr>
          <w:rFonts w:asciiTheme="minorHAnsi" w:hAnsiTheme="minorHAnsi" w:cs="Tahoma"/>
          <w:sz w:val="22"/>
          <w:szCs w:val="22"/>
        </w:rPr>
      </w:pPr>
      <w:r w:rsidRPr="00DC2D33">
        <w:rPr>
          <w:rFonts w:asciiTheme="minorHAnsi" w:hAnsiTheme="minorHAnsi" w:cs="Tahoma"/>
          <w:sz w:val="22"/>
          <w:szCs w:val="22"/>
        </w:rPr>
        <w:t>We live in a litigious society.  Our desire would be for the body to solve our conflicts within the structure of church government, or better still, within Christian conciliation means.  However, in the event of a lawsuit, the denomination is covered by such coverage, but should a presbytery be named in the suit, the presbytery could be at risk.  (Note: Please keep the Stated Clerk’s Office informed of such events, or the potential for them.)</w:t>
      </w:r>
    </w:p>
    <w:p w14:paraId="13879369" w14:textId="77777777" w:rsidR="00A6611A" w:rsidRPr="00DC2D33" w:rsidRDefault="00A6611A">
      <w:pPr>
        <w:rPr>
          <w:rFonts w:asciiTheme="minorHAnsi" w:hAnsiTheme="minorHAnsi" w:cs="Tahoma"/>
          <w:sz w:val="22"/>
          <w:szCs w:val="22"/>
        </w:rPr>
      </w:pPr>
    </w:p>
    <w:p w14:paraId="532ECD7A" w14:textId="4704E5B1" w:rsidR="004E7193" w:rsidRPr="00DC2D33" w:rsidRDefault="00A6611A" w:rsidP="0098642C">
      <w:pPr>
        <w:rPr>
          <w:rFonts w:asciiTheme="minorHAnsi" w:hAnsiTheme="minorHAnsi" w:cs="Tahoma"/>
          <w:sz w:val="22"/>
          <w:szCs w:val="22"/>
        </w:rPr>
      </w:pPr>
      <w:r w:rsidRPr="00DC2D33">
        <w:rPr>
          <w:rFonts w:asciiTheme="minorHAnsi" w:hAnsiTheme="minorHAnsi" w:cs="Tahoma"/>
          <w:sz w:val="22"/>
          <w:szCs w:val="22"/>
        </w:rPr>
        <w:t xml:space="preserve">We would encourage presbyteries that are not </w:t>
      </w:r>
      <w:r w:rsidR="00570A61">
        <w:rPr>
          <w:rFonts w:asciiTheme="minorHAnsi" w:hAnsiTheme="minorHAnsi" w:cs="Tahoma"/>
          <w:sz w:val="22"/>
          <w:szCs w:val="22"/>
        </w:rPr>
        <w:t>i</w:t>
      </w:r>
      <w:r w:rsidRPr="00DC2D33">
        <w:rPr>
          <w:rFonts w:asciiTheme="minorHAnsi" w:hAnsiTheme="minorHAnsi" w:cs="Tahoma"/>
          <w:sz w:val="22"/>
          <w:szCs w:val="22"/>
        </w:rPr>
        <w:t xml:space="preserve">nsured to initiate the process for the purchase and annual renewal of such insurance.  </w:t>
      </w:r>
      <w:r w:rsidR="004E7193" w:rsidRPr="00DC2D33">
        <w:rPr>
          <w:rFonts w:asciiTheme="minorHAnsi" w:hAnsiTheme="minorHAnsi" w:cs="Tahoma"/>
          <w:sz w:val="22"/>
          <w:szCs w:val="22"/>
        </w:rPr>
        <w:t xml:space="preserve">You can find out more about the policy we suggest by </w:t>
      </w:r>
      <w:r w:rsidR="0098642C" w:rsidRPr="00DC2D33">
        <w:rPr>
          <w:rFonts w:asciiTheme="minorHAnsi" w:hAnsiTheme="minorHAnsi" w:cs="Tahoma"/>
          <w:sz w:val="22"/>
          <w:szCs w:val="22"/>
        </w:rPr>
        <w:t>contacting our</w:t>
      </w:r>
      <w:r w:rsidR="002F5E81" w:rsidRPr="00DC2D33">
        <w:rPr>
          <w:rFonts w:asciiTheme="minorHAnsi" w:hAnsiTheme="minorHAnsi" w:cs="Tahoma"/>
          <w:sz w:val="22"/>
          <w:szCs w:val="22"/>
        </w:rPr>
        <w:t xml:space="preserve"> agent Rob Townley </w:t>
      </w:r>
      <w:r w:rsidR="0098642C" w:rsidRPr="00DC2D33">
        <w:rPr>
          <w:rFonts w:asciiTheme="minorHAnsi" w:hAnsiTheme="minorHAnsi" w:cs="Tahoma"/>
          <w:sz w:val="22"/>
          <w:szCs w:val="22"/>
        </w:rPr>
        <w:t xml:space="preserve">at 404.378.4397 or </w:t>
      </w:r>
      <w:hyperlink r:id="rId7" w:history="1">
        <w:r w:rsidR="00FF61DD" w:rsidRPr="00812716">
          <w:rPr>
            <w:rStyle w:val="Hyperlink"/>
            <w:rFonts w:asciiTheme="minorHAnsi" w:hAnsiTheme="minorHAnsi" w:cs="Tahoma"/>
            <w:sz w:val="22"/>
            <w:szCs w:val="22"/>
          </w:rPr>
          <w:t>rob@townleykenton.com</w:t>
        </w:r>
      </w:hyperlink>
      <w:r w:rsidR="0098642C" w:rsidRPr="00DC2D33">
        <w:rPr>
          <w:rFonts w:asciiTheme="minorHAnsi" w:hAnsiTheme="minorHAnsi" w:cs="Tahoma"/>
          <w:sz w:val="22"/>
          <w:szCs w:val="22"/>
        </w:rPr>
        <w:t xml:space="preserve">. </w:t>
      </w:r>
    </w:p>
    <w:p w14:paraId="458DB336" w14:textId="77777777" w:rsidR="00A6611A" w:rsidRPr="00DC2D33" w:rsidRDefault="00A6611A">
      <w:pPr>
        <w:jc w:val="center"/>
        <w:rPr>
          <w:rFonts w:asciiTheme="minorHAnsi" w:hAnsiTheme="minorHAnsi"/>
          <w:sz w:val="22"/>
          <w:szCs w:val="22"/>
        </w:rPr>
      </w:pPr>
    </w:p>
    <w:sectPr w:rsidR="00A6611A" w:rsidRPr="00DC2D33">
      <w:headerReference w:type="even" r:id="rId8"/>
      <w:headerReference w:type="default" r:id="rId9"/>
      <w:footerReference w:type="even" r:id="rId10"/>
      <w:type w:val="evenPage"/>
      <w:pgSz w:w="12240" w:h="15840" w:code="1"/>
      <w:pgMar w:top="1440" w:right="1440" w:bottom="1440" w:left="1440" w:header="720" w:footer="720" w:gutter="36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E9AED" w14:textId="77777777" w:rsidR="00713B35" w:rsidRDefault="00713B35">
      <w:r>
        <w:separator/>
      </w:r>
    </w:p>
  </w:endnote>
  <w:endnote w:type="continuationSeparator" w:id="0">
    <w:p w14:paraId="05976317" w14:textId="77777777" w:rsidR="00713B35" w:rsidRDefault="00713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55555" w14:textId="77777777" w:rsidR="00D65547" w:rsidRDefault="00D65547" w:rsidP="00D65547">
    <w:pPr>
      <w:pStyle w:val="Footer"/>
      <w:tabs>
        <w:tab w:val="clear" w:pos="8640"/>
        <w:tab w:val="right" w:pos="9000"/>
      </w:tabs>
    </w:pPr>
    <w:r>
      <w:tab/>
    </w:r>
    <w:r w:rsidR="003249DF">
      <w:tab/>
      <w:t>04/18</w:t>
    </w:r>
  </w:p>
  <w:p w14:paraId="2BB79B9C" w14:textId="77777777" w:rsidR="00D65547" w:rsidRDefault="00D655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0FC0D" w14:textId="77777777" w:rsidR="00713B35" w:rsidRDefault="00713B35">
      <w:r>
        <w:separator/>
      </w:r>
    </w:p>
  </w:footnote>
  <w:footnote w:type="continuationSeparator" w:id="0">
    <w:p w14:paraId="44A4DC7D" w14:textId="77777777" w:rsidR="00713B35" w:rsidRDefault="00713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1D44D" w14:textId="77777777" w:rsidR="00A6611A" w:rsidRDefault="00A6611A">
    <w:pPr>
      <w:pStyle w:val="Header"/>
      <w:jc w:val="right"/>
    </w:pPr>
    <w:r>
      <w:t>083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8F21E" w14:textId="77777777" w:rsidR="00A6611A" w:rsidRDefault="00A6611A">
    <w:pPr>
      <w:pStyle w:val="Header"/>
    </w:pPr>
    <w:r>
      <w:t>083-</w:t>
    </w:r>
    <w:r>
      <w:rPr>
        <w:rStyle w:val="PageNumbe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EC4054"/>
    <w:multiLevelType w:val="hybridMultilevel"/>
    <w:tmpl w:val="5B5AE85C"/>
    <w:lvl w:ilvl="0" w:tplc="27D6B912">
      <w:start w:val="22"/>
      <w:numFmt w:val="decimal"/>
      <w:lvlText w:val="%1"/>
      <w:lvlJc w:val="left"/>
      <w:pPr>
        <w:tabs>
          <w:tab w:val="num" w:pos="3600"/>
        </w:tabs>
        <w:ind w:left="3600" w:hanging="72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 w15:restartNumberingAfterBreak="0">
    <w:nsid w:val="76DC38EA"/>
    <w:multiLevelType w:val="hybridMultilevel"/>
    <w:tmpl w:val="D1148F2A"/>
    <w:lvl w:ilvl="0" w:tplc="1EC24D74">
      <w:start w:val="14"/>
      <w:numFmt w:val="decimal"/>
      <w:lvlText w:val="%1"/>
      <w:lvlJc w:val="left"/>
      <w:pPr>
        <w:tabs>
          <w:tab w:val="num" w:pos="3600"/>
        </w:tabs>
        <w:ind w:left="3600" w:hanging="72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 w15:restartNumberingAfterBreak="0">
    <w:nsid w:val="7F9127E3"/>
    <w:multiLevelType w:val="hybridMultilevel"/>
    <w:tmpl w:val="395CD73A"/>
    <w:lvl w:ilvl="0" w:tplc="810C0C9C">
      <w:start w:val="3"/>
      <w:numFmt w:val="decimal"/>
      <w:lvlText w:val="%1)"/>
      <w:lvlJc w:val="left"/>
      <w:pPr>
        <w:tabs>
          <w:tab w:val="num" w:pos="2880"/>
        </w:tabs>
        <w:ind w:left="2880" w:hanging="720"/>
      </w:pPr>
      <w:rPr>
        <w:rFonts w:hint="default"/>
      </w:rPr>
    </w:lvl>
    <w:lvl w:ilvl="1" w:tplc="42D2C804">
      <w:start w:val="1"/>
      <w:numFmt w:val="decimal"/>
      <w:lvlText w:val="%2"/>
      <w:lvlJc w:val="left"/>
      <w:pPr>
        <w:tabs>
          <w:tab w:val="num" w:pos="3600"/>
        </w:tabs>
        <w:ind w:left="3600" w:hanging="72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16cid:durableId="1764109099">
    <w:abstractNumId w:val="2"/>
  </w:num>
  <w:num w:numId="2" w16cid:durableId="414522082">
    <w:abstractNumId w:val="1"/>
  </w:num>
  <w:num w:numId="3" w16cid:durableId="1869172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193"/>
    <w:rsid w:val="002F5E81"/>
    <w:rsid w:val="003249DF"/>
    <w:rsid w:val="00350BA1"/>
    <w:rsid w:val="003A0E76"/>
    <w:rsid w:val="004E7193"/>
    <w:rsid w:val="00501254"/>
    <w:rsid w:val="00570A61"/>
    <w:rsid w:val="005D6C87"/>
    <w:rsid w:val="00713B35"/>
    <w:rsid w:val="0098642C"/>
    <w:rsid w:val="00A6611A"/>
    <w:rsid w:val="00B943D9"/>
    <w:rsid w:val="00D65547"/>
    <w:rsid w:val="00DC2D33"/>
    <w:rsid w:val="00E54BD0"/>
    <w:rsid w:val="00F25B3F"/>
    <w:rsid w:val="00FF6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D3AE13"/>
  <w15:docId w15:val="{AAF63E7C-2ADA-4C88-B2B4-E7ABBF0FF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ind w:left="750"/>
      <w:jc w:val="center"/>
      <w:outlineLvl w:val="0"/>
    </w:pPr>
    <w:rPr>
      <w:b/>
      <w:bCs/>
      <w:color w:val="000000"/>
      <w:sz w:val="22"/>
    </w:rPr>
  </w:style>
  <w:style w:type="paragraph" w:styleId="Heading2">
    <w:name w:val="heading 2"/>
    <w:basedOn w:val="Normal"/>
    <w:next w:val="Normal"/>
    <w:qFormat/>
    <w:pPr>
      <w:keepNext/>
      <w:ind w:left="750"/>
      <w:outlineLvl w:val="1"/>
    </w:pPr>
    <w:rPr>
      <w:b/>
      <w:bCs/>
      <w:color w:val="000000"/>
      <w:sz w:val="22"/>
    </w:rPr>
  </w:style>
  <w:style w:type="paragraph" w:styleId="Heading3">
    <w:name w:val="heading 3"/>
    <w:basedOn w:val="Normal"/>
    <w:next w:val="Normal"/>
    <w:qFormat/>
    <w:pPr>
      <w:keepNext/>
      <w:ind w:left="750"/>
      <w:outlineLvl w:val="2"/>
    </w:pPr>
    <w:rPr>
      <w:rFonts w:ascii="Blackadder ITC" w:hAnsi="Blackadder ITC"/>
      <w:color w:val="000000"/>
      <w:sz w:val="28"/>
    </w:rPr>
  </w:style>
  <w:style w:type="paragraph" w:styleId="Heading4">
    <w:name w:val="heading 4"/>
    <w:basedOn w:val="Normal"/>
    <w:next w:val="Normal"/>
    <w:qFormat/>
    <w:pPr>
      <w:keepNext/>
      <w:outlineLvl w:val="3"/>
    </w:pPr>
    <w:rPr>
      <w:b/>
      <w:bCs/>
      <w:szCs w:val="24"/>
    </w:rPr>
  </w:style>
  <w:style w:type="paragraph" w:styleId="Heading5">
    <w:name w:val="heading 5"/>
    <w:basedOn w:val="Normal"/>
    <w:next w:val="Normal"/>
    <w:qFormat/>
    <w:pPr>
      <w:keepNext/>
      <w:ind w:left="750"/>
      <w:outlineLvl w:val="4"/>
    </w:pPr>
    <w:rPr>
      <w:b/>
      <w:bCs/>
      <w:color w:val="000000"/>
      <w:sz w:val="28"/>
    </w:rPr>
  </w:style>
  <w:style w:type="paragraph" w:styleId="Heading6">
    <w:name w:val="heading 6"/>
    <w:basedOn w:val="Normal"/>
    <w:next w:val="Normal"/>
    <w:qFormat/>
    <w:pPr>
      <w:keepNext/>
      <w:ind w:right="-180"/>
      <w:outlineLvl w:val="5"/>
    </w:pPr>
    <w:rPr>
      <w:rFonts w:ascii="Verdana" w:hAnsi="Verdana" w:cs="Tahoma"/>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rPr>
  </w:style>
  <w:style w:type="paragraph" w:styleId="BodyTextIndent">
    <w:name w:val="Body Text Indent"/>
    <w:basedOn w:val="Normal"/>
    <w:pPr>
      <w:ind w:left="1440"/>
    </w:pPr>
    <w:rPr>
      <w:bCs/>
    </w:rPr>
  </w:style>
  <w:style w:type="paragraph" w:styleId="BodyTextIndent2">
    <w:name w:val="Body Text Indent 2"/>
    <w:basedOn w:val="Normal"/>
    <w:pPr>
      <w:ind w:left="2880"/>
    </w:pPr>
  </w:style>
  <w:style w:type="paragraph" w:styleId="BodyTextIndent3">
    <w:name w:val="Body Text Indent 3"/>
    <w:basedOn w:val="Normal"/>
    <w:pPr>
      <w:ind w:left="2880"/>
    </w:pPr>
    <w:rPr>
      <w:b/>
      <w:bCs/>
    </w:rPr>
  </w:style>
  <w:style w:type="character" w:styleId="HTMLTypewriter">
    <w:name w:val="HTML Typewriter"/>
    <w:rPr>
      <w:rFonts w:ascii="Courier New" w:eastAsia="Courier New" w:hAnsi="Courier New" w:cs="Courier New" w:hint="default"/>
      <w:sz w:val="20"/>
      <w:szCs w:val="2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Strong">
    <w:name w:val="Strong"/>
    <w:qFormat/>
    <w:rPr>
      <w:b/>
      <w:bCs/>
    </w:rPr>
  </w:style>
  <w:style w:type="character" w:styleId="Hyperlink">
    <w:name w:val="Hyperlink"/>
    <w:rsid w:val="004E7193"/>
    <w:rPr>
      <w:color w:val="0000FF"/>
      <w:u w:val="single"/>
    </w:rPr>
  </w:style>
  <w:style w:type="character" w:customStyle="1" w:styleId="FooterChar">
    <w:name w:val="Footer Char"/>
    <w:basedOn w:val="DefaultParagraphFont"/>
    <w:link w:val="Footer"/>
    <w:uiPriority w:val="99"/>
    <w:rsid w:val="00D65547"/>
    <w:rPr>
      <w:sz w:val="24"/>
    </w:rPr>
  </w:style>
  <w:style w:type="paragraph" w:styleId="BalloonText">
    <w:name w:val="Balloon Text"/>
    <w:basedOn w:val="Normal"/>
    <w:link w:val="BalloonTextChar"/>
    <w:rsid w:val="00D65547"/>
    <w:rPr>
      <w:rFonts w:ascii="Tahoma" w:hAnsi="Tahoma" w:cs="Tahoma"/>
      <w:sz w:val="16"/>
      <w:szCs w:val="16"/>
    </w:rPr>
  </w:style>
  <w:style w:type="character" w:customStyle="1" w:styleId="BalloonTextChar">
    <w:name w:val="Balloon Text Char"/>
    <w:basedOn w:val="DefaultParagraphFont"/>
    <w:link w:val="BalloonText"/>
    <w:rsid w:val="00D65547"/>
    <w:rPr>
      <w:rFonts w:ascii="Tahoma" w:hAnsi="Tahoma" w:cs="Tahoma"/>
      <w:sz w:val="16"/>
      <w:szCs w:val="16"/>
    </w:rPr>
  </w:style>
  <w:style w:type="character" w:styleId="UnresolvedMention">
    <w:name w:val="Unresolved Mention"/>
    <w:basedOn w:val="DefaultParagraphFont"/>
    <w:uiPriority w:val="99"/>
    <w:semiHidden/>
    <w:unhideWhenUsed/>
    <w:rsid w:val="00FF61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554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ob@townleykento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Director’s &amp; Officer’s Liability Policy</vt:lpstr>
    </vt:vector>
  </TitlesOfParts>
  <Company>Presb. Church in America</Company>
  <LinksUpToDate>false</LinksUpToDate>
  <CharactersWithSpaces>897</CharactersWithSpaces>
  <SharedDoc>false</SharedDoc>
  <HLinks>
    <vt:vector size="12" baseType="variant">
      <vt:variant>
        <vt:i4>3866696</vt:i4>
      </vt:variant>
      <vt:variant>
        <vt:i4>3</vt:i4>
      </vt:variant>
      <vt:variant>
        <vt:i4>0</vt:i4>
      </vt:variant>
      <vt:variant>
        <vt:i4>5</vt:i4>
      </vt:variant>
      <vt:variant>
        <vt:lpwstr>mailto:rstownley@townley-kenton.com</vt:lpwstr>
      </vt:variant>
      <vt:variant>
        <vt:lpwstr/>
      </vt:variant>
      <vt:variant>
        <vt:i4>3276801</vt:i4>
      </vt:variant>
      <vt:variant>
        <vt:i4>0</vt:i4>
      </vt:variant>
      <vt:variant>
        <vt:i4>0</vt:i4>
      </vt:variant>
      <vt:variant>
        <vt:i4>5</vt:i4>
      </vt:variant>
      <vt:variant>
        <vt:lpwstr>mailto:ac@pcanet.org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Director’s &amp; Officer’s Liability Policy</dc:title>
  <dc:creator>Mary Bradley Bayne</dc:creator>
  <cp:lastModifiedBy>Heidi Harrison</cp:lastModifiedBy>
  <cp:revision>3</cp:revision>
  <cp:lastPrinted>2004-09-27T16:09:00Z</cp:lastPrinted>
  <dcterms:created xsi:type="dcterms:W3CDTF">2022-05-12T12:58:00Z</dcterms:created>
  <dcterms:modified xsi:type="dcterms:W3CDTF">2022-07-26T18:06:00Z</dcterms:modified>
</cp:coreProperties>
</file>