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04D" w:rsidRPr="005E3E40" w:rsidRDefault="00C7704D">
      <w:pPr>
        <w:pStyle w:val="Head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mallCaps/>
          <w:sz w:val="28"/>
        </w:rPr>
      </w:pPr>
    </w:p>
    <w:p w:rsidR="00C7704D" w:rsidRPr="005E3E40" w:rsidRDefault="00C7704D" w:rsidP="00D634D3">
      <w:pPr>
        <w:tabs>
          <w:tab w:val="left" w:pos="5490"/>
        </w:tabs>
        <w:jc w:val="center"/>
        <w:outlineLvl w:val="0"/>
        <w:rPr>
          <w:rFonts w:asciiTheme="minorHAnsi" w:hAnsiTheme="minorHAnsi" w:cs="Tahoma"/>
          <w:b/>
          <w:smallCaps/>
          <w:sz w:val="28"/>
        </w:rPr>
      </w:pPr>
      <w:r w:rsidRPr="005E3E40">
        <w:rPr>
          <w:rFonts w:asciiTheme="minorHAnsi" w:hAnsiTheme="minorHAnsi" w:cs="Tahoma"/>
          <w:b/>
          <w:smallCaps/>
          <w:sz w:val="28"/>
        </w:rPr>
        <w:t xml:space="preserve">Responsibility for Worship Services </w:t>
      </w:r>
    </w:p>
    <w:p w:rsidR="00C7704D" w:rsidRPr="005E3E40" w:rsidRDefault="00C7704D" w:rsidP="00D634D3">
      <w:pPr>
        <w:tabs>
          <w:tab w:val="left" w:pos="5490"/>
        </w:tabs>
        <w:jc w:val="center"/>
        <w:outlineLvl w:val="0"/>
        <w:rPr>
          <w:rFonts w:asciiTheme="minorHAnsi" w:hAnsiTheme="minorHAnsi" w:cs="Tahoma"/>
          <w:b/>
          <w:smallCaps/>
          <w:sz w:val="28"/>
        </w:rPr>
      </w:pPr>
      <w:r w:rsidRPr="005E3E40">
        <w:rPr>
          <w:rFonts w:asciiTheme="minorHAnsi" w:hAnsiTheme="minorHAnsi" w:cs="Tahoma"/>
          <w:b/>
          <w:smallCaps/>
          <w:sz w:val="28"/>
        </w:rPr>
        <w:t>At General Assembly</w:t>
      </w:r>
    </w:p>
    <w:p w:rsidR="00C7704D" w:rsidRPr="005E3E40" w:rsidRDefault="00C7704D">
      <w:pPr>
        <w:pStyle w:val="Header"/>
        <w:tabs>
          <w:tab w:val="clear" w:pos="4320"/>
          <w:tab w:val="clear" w:pos="8640"/>
          <w:tab w:val="left" w:pos="5490"/>
        </w:tabs>
        <w:rPr>
          <w:rFonts w:asciiTheme="minorHAnsi" w:hAnsiTheme="minorHAnsi"/>
          <w:sz w:val="28"/>
        </w:rPr>
      </w:pPr>
    </w:p>
    <w:p w:rsidR="00C7704D" w:rsidRPr="005E3E40" w:rsidRDefault="00C7704D">
      <w:pPr>
        <w:tabs>
          <w:tab w:val="left" w:pos="720"/>
          <w:tab w:val="left" w:pos="5490"/>
        </w:tabs>
        <w:spacing w:line="240" w:lineRule="exact"/>
        <w:jc w:val="both"/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The 2002 General Assembly took the following action regarding the worship services at the General Assembly:</w:t>
      </w:r>
    </w:p>
    <w:p w:rsidR="00C7704D" w:rsidRPr="005E3E40" w:rsidRDefault="00C7704D">
      <w:pPr>
        <w:tabs>
          <w:tab w:val="left" w:pos="720"/>
          <w:tab w:val="left" w:pos="5490"/>
        </w:tabs>
        <w:spacing w:line="240" w:lineRule="exact"/>
        <w:jc w:val="both"/>
        <w:rPr>
          <w:rFonts w:asciiTheme="minorHAnsi" w:hAnsiTheme="minorHAnsi" w:cs="Tahoma"/>
          <w:sz w:val="22"/>
        </w:rPr>
      </w:pPr>
    </w:p>
    <w:p w:rsidR="00C7704D" w:rsidRPr="005E3E40" w:rsidRDefault="00C7704D">
      <w:pPr>
        <w:tabs>
          <w:tab w:val="left" w:pos="720"/>
          <w:tab w:val="left" w:pos="5490"/>
        </w:tabs>
        <w:spacing w:line="240" w:lineRule="exact"/>
        <w:ind w:left="720" w:right="720"/>
        <w:jc w:val="both"/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“That the Administrative Committee through the local Host Committee be responsible for all services at General Assembly (</w:t>
      </w:r>
      <w:r w:rsidR="00E4391A" w:rsidRPr="005E3E40">
        <w:rPr>
          <w:rFonts w:asciiTheme="minorHAnsi" w:hAnsiTheme="minorHAnsi" w:cs="Tahoma"/>
          <w:iCs/>
          <w:sz w:val="22"/>
        </w:rPr>
        <w:t>RAO</w:t>
      </w:r>
      <w:r w:rsidRPr="005E3E40">
        <w:rPr>
          <w:rFonts w:asciiTheme="minorHAnsi" w:hAnsiTheme="minorHAnsi" w:cs="Tahoma"/>
          <w:sz w:val="22"/>
        </w:rPr>
        <w:t xml:space="preserve"> </w:t>
      </w:r>
      <w:r w:rsidR="00E4391A" w:rsidRPr="005E3E40">
        <w:rPr>
          <w:rFonts w:asciiTheme="minorHAnsi" w:hAnsiTheme="minorHAnsi" w:cs="Tahoma"/>
          <w:sz w:val="22"/>
        </w:rPr>
        <w:t>10</w:t>
      </w:r>
      <w:r w:rsidRPr="005E3E40">
        <w:rPr>
          <w:rFonts w:asciiTheme="minorHAnsi" w:hAnsiTheme="minorHAnsi" w:cs="Tahoma"/>
          <w:sz w:val="22"/>
        </w:rPr>
        <w:t>-3).”</w:t>
      </w:r>
    </w:p>
    <w:p w:rsidR="00C7704D" w:rsidRPr="005E3E40" w:rsidRDefault="00C7704D">
      <w:pPr>
        <w:rPr>
          <w:rFonts w:asciiTheme="minorHAnsi" w:hAnsiTheme="minorHAnsi" w:cs="Tahoma"/>
          <w:sz w:val="22"/>
        </w:rPr>
      </w:pPr>
    </w:p>
    <w:p w:rsidR="00C7704D" w:rsidRPr="005E3E40" w:rsidRDefault="00C7704D" w:rsidP="00D634D3">
      <w:pPr>
        <w:outlineLvl w:val="0"/>
        <w:rPr>
          <w:rFonts w:asciiTheme="minorHAnsi" w:hAnsiTheme="minorHAnsi" w:cs="Tahoma"/>
          <w:sz w:val="22"/>
          <w:u w:val="single"/>
        </w:rPr>
      </w:pPr>
      <w:r w:rsidRPr="005E3E40">
        <w:rPr>
          <w:rFonts w:asciiTheme="minorHAnsi" w:hAnsiTheme="minorHAnsi" w:cs="Tahoma"/>
          <w:sz w:val="22"/>
          <w:u w:val="single"/>
        </w:rPr>
        <w:t>Regarding Worship</w:t>
      </w:r>
    </w:p>
    <w:p w:rsidR="00C7704D" w:rsidRPr="005E3E40" w:rsidRDefault="00C7704D">
      <w:pPr>
        <w:pStyle w:val="TOC1"/>
        <w:ind w:left="0" w:firstLine="0"/>
        <w:rPr>
          <w:rFonts w:asciiTheme="minorHAnsi" w:hAnsiTheme="minorHAnsi" w:cs="Tahoma"/>
          <w:sz w:val="22"/>
        </w:rPr>
      </w:pPr>
    </w:p>
    <w:p w:rsidR="00A465AA" w:rsidRPr="005E3E40" w:rsidRDefault="00A465AA" w:rsidP="00A465AA">
      <w:pPr>
        <w:pStyle w:val="TOC2"/>
        <w:numPr>
          <w:ilvl w:val="0"/>
          <w:numId w:val="14"/>
        </w:num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See Worship Service Guidelines (attached)</w:t>
      </w:r>
    </w:p>
    <w:p w:rsidR="00A465AA" w:rsidRPr="005E3E40" w:rsidRDefault="00A465AA" w:rsidP="00A465AA">
      <w:pPr>
        <w:pStyle w:val="TOC2"/>
        <w:numPr>
          <w:ilvl w:val="0"/>
          <w:numId w:val="14"/>
        </w:num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Select proposed speakers</w:t>
      </w:r>
    </w:p>
    <w:p w:rsidR="00A465AA" w:rsidRPr="005E3E40" w:rsidRDefault="00A465AA" w:rsidP="00A465AA">
      <w:pPr>
        <w:pStyle w:val="TOC2"/>
        <w:numPr>
          <w:ilvl w:val="1"/>
          <w:numId w:val="14"/>
        </w:num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non-PCA speakers must be approved by the Administrative Committee at its October meeting</w:t>
      </w:r>
    </w:p>
    <w:p w:rsidR="00A465AA" w:rsidRPr="005E3E40" w:rsidRDefault="00A465AA" w:rsidP="00A465AA">
      <w:pPr>
        <w:pStyle w:val="TOC2"/>
        <w:numPr>
          <w:ilvl w:val="0"/>
          <w:numId w:val="14"/>
        </w:num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Arrange for special music (soloists, instrumentalists, choirs, etc.)</w:t>
      </w:r>
    </w:p>
    <w:p w:rsidR="00A465AA" w:rsidRPr="005E3E40" w:rsidRDefault="00A465AA" w:rsidP="00A465AA">
      <w:pPr>
        <w:pStyle w:val="TOC2"/>
        <w:numPr>
          <w:ilvl w:val="1"/>
          <w:numId w:val="14"/>
        </w:num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>Traditionally there is a pre-worship music time (30 minutes) prior to the beginning of the each worship service</w:t>
      </w:r>
    </w:p>
    <w:p w:rsidR="00C7704D" w:rsidRPr="005E3E40" w:rsidRDefault="00C7704D">
      <w:pPr>
        <w:pStyle w:val="TOC2"/>
        <w:rPr>
          <w:rFonts w:asciiTheme="minorHAnsi" w:hAnsiTheme="minorHAnsi" w:cs="Tahoma"/>
          <w:sz w:val="22"/>
        </w:rPr>
      </w:pPr>
    </w:p>
    <w:p w:rsidR="00C7704D" w:rsidRPr="005E3E40" w:rsidRDefault="00A465AA">
      <w:p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t xml:space="preserve">This and other responsibilities are further detailed in the Host Committee Manual. </w:t>
      </w:r>
      <w:r w:rsidR="00C7704D" w:rsidRPr="005E3E40">
        <w:rPr>
          <w:rFonts w:asciiTheme="minorHAnsi" w:hAnsiTheme="minorHAnsi" w:cs="Tahoma"/>
          <w:sz w:val="22"/>
        </w:rPr>
        <w:t xml:space="preserve">If your presbytery </w:t>
      </w:r>
      <w:r w:rsidR="0055340C" w:rsidRPr="005E3E40">
        <w:rPr>
          <w:rFonts w:asciiTheme="minorHAnsi" w:hAnsiTheme="minorHAnsi" w:cs="Tahoma"/>
          <w:sz w:val="22"/>
        </w:rPr>
        <w:t>has any questions regarding the Host Committee</w:t>
      </w:r>
      <w:r w:rsidR="00C7704D" w:rsidRPr="005E3E40">
        <w:rPr>
          <w:rFonts w:asciiTheme="minorHAnsi" w:hAnsiTheme="minorHAnsi" w:cs="Tahoma"/>
          <w:sz w:val="22"/>
        </w:rPr>
        <w:t xml:space="preserve"> manual</w:t>
      </w:r>
      <w:r w:rsidR="0055340C" w:rsidRPr="005E3E40">
        <w:rPr>
          <w:rFonts w:asciiTheme="minorHAnsi" w:hAnsiTheme="minorHAnsi" w:cs="Tahoma"/>
          <w:sz w:val="22"/>
        </w:rPr>
        <w:t xml:space="preserve"> or has interest in hosting a General Assembly</w:t>
      </w:r>
      <w:r w:rsidR="00C7704D" w:rsidRPr="005E3E40">
        <w:rPr>
          <w:rFonts w:asciiTheme="minorHAnsi" w:hAnsiTheme="minorHAnsi" w:cs="Tahoma"/>
          <w:sz w:val="22"/>
        </w:rPr>
        <w:t>, please contact</w:t>
      </w:r>
      <w:r w:rsidR="0055340C" w:rsidRPr="005E3E40">
        <w:rPr>
          <w:rFonts w:asciiTheme="minorHAnsi" w:hAnsiTheme="minorHAnsi" w:cs="Tahoma"/>
          <w:sz w:val="22"/>
        </w:rPr>
        <w:t xml:space="preserve"> the Administrative Committee</w:t>
      </w:r>
      <w:r w:rsidR="00D634D3" w:rsidRPr="005E3E40">
        <w:rPr>
          <w:rFonts w:asciiTheme="minorHAnsi" w:hAnsiTheme="minorHAnsi" w:cs="Tahoma"/>
          <w:sz w:val="22"/>
        </w:rPr>
        <w:t xml:space="preserve"> </w:t>
      </w:r>
      <w:r w:rsidR="0055340C" w:rsidRPr="005E3E40">
        <w:rPr>
          <w:rFonts w:asciiTheme="minorHAnsi" w:hAnsiTheme="minorHAnsi" w:cs="Tahoma"/>
          <w:sz w:val="22"/>
        </w:rPr>
        <w:t>by phone at</w:t>
      </w:r>
      <w:r w:rsidR="00C7704D" w:rsidRPr="005E3E40">
        <w:rPr>
          <w:rFonts w:asciiTheme="minorHAnsi" w:hAnsiTheme="minorHAnsi" w:cs="Tahoma"/>
          <w:sz w:val="22"/>
        </w:rPr>
        <w:t xml:space="preserve"> 678-825-1000</w:t>
      </w:r>
      <w:r w:rsidR="0055340C" w:rsidRPr="005E3E40">
        <w:rPr>
          <w:rFonts w:asciiTheme="minorHAnsi" w:hAnsiTheme="minorHAnsi" w:cs="Tahoma"/>
          <w:sz w:val="22"/>
        </w:rPr>
        <w:t xml:space="preserve"> or by e-mail at </w:t>
      </w:r>
      <w:hyperlink r:id="rId7" w:history="1">
        <w:r w:rsidR="0055340C" w:rsidRPr="005E3E40">
          <w:rPr>
            <w:rStyle w:val="Hyperlink"/>
            <w:rFonts w:asciiTheme="minorHAnsi" w:hAnsiTheme="minorHAnsi" w:cs="Tahoma"/>
            <w:sz w:val="22"/>
          </w:rPr>
          <w:t>events@pcanet.org</w:t>
        </w:r>
      </w:hyperlink>
      <w:r w:rsidR="005C343F" w:rsidRPr="005E3E40">
        <w:rPr>
          <w:rFonts w:asciiTheme="minorHAnsi" w:hAnsiTheme="minorHAnsi" w:cs="Tahoma"/>
          <w:sz w:val="22"/>
        </w:rPr>
        <w:t>.</w:t>
      </w:r>
    </w:p>
    <w:p w:rsidR="00C7704D" w:rsidRPr="005E3E40" w:rsidRDefault="00C7704D">
      <w:pPr>
        <w:rPr>
          <w:rFonts w:asciiTheme="minorHAnsi" w:hAnsiTheme="minorHAnsi" w:cs="Tahoma"/>
          <w:sz w:val="22"/>
        </w:rPr>
      </w:pPr>
    </w:p>
    <w:p w:rsidR="005607BE" w:rsidRPr="005E3E40" w:rsidRDefault="005607BE">
      <w:pPr>
        <w:rPr>
          <w:rFonts w:asciiTheme="minorHAnsi" w:hAnsiTheme="minorHAnsi" w:cs="Tahoma"/>
          <w:sz w:val="22"/>
        </w:rPr>
      </w:pPr>
      <w:r w:rsidRPr="005E3E40">
        <w:rPr>
          <w:rFonts w:asciiTheme="minorHAnsi" w:hAnsiTheme="minorHAnsi" w:cs="Tahoma"/>
          <w:sz w:val="22"/>
        </w:rPr>
        <w:br w:type="page"/>
      </w:r>
    </w:p>
    <w:p w:rsidR="00A465AA" w:rsidRPr="00A465AA" w:rsidRDefault="00A465AA" w:rsidP="00A465AA">
      <w:pPr>
        <w:jc w:val="center"/>
        <w:rPr>
          <w:rFonts w:asciiTheme="minorHAnsi" w:hAnsiTheme="minorHAnsi"/>
          <w:sz w:val="20"/>
        </w:rPr>
      </w:pPr>
      <w:r w:rsidRPr="00A465AA">
        <w:rPr>
          <w:rFonts w:asciiTheme="minorHAnsi" w:hAnsiTheme="minorHAnsi"/>
          <w:b/>
          <w:bCs/>
          <w:smallCaps/>
          <w:sz w:val="32"/>
        </w:rPr>
        <w:lastRenderedPageBreak/>
        <w:t>Worship Service Guidelines</w:t>
      </w:r>
    </w:p>
    <w:p w:rsidR="00A465AA" w:rsidRPr="00A465AA" w:rsidRDefault="00A465AA" w:rsidP="00A465AA">
      <w:pPr>
        <w:rPr>
          <w:rFonts w:asciiTheme="minorHAnsi" w:hAnsiTheme="minorHAnsi"/>
          <w:b/>
          <w:bCs/>
          <w:smallCaps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Worship services shall be included as approved by the Assembly. The Administrative Committee must approve any non-PCA speaker</w:t>
      </w:r>
      <w:r w:rsidR="002578C2">
        <w:rPr>
          <w:rFonts w:asciiTheme="minorHAnsi" w:hAnsiTheme="minorHAnsi"/>
          <w:color w:val="000000"/>
          <w:sz w:val="23"/>
          <w:szCs w:val="23"/>
        </w:rPr>
        <w:t>.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(</w:t>
      </w:r>
      <w:r w:rsidRPr="00A465AA">
        <w:rPr>
          <w:rFonts w:asciiTheme="minorHAnsi" w:hAnsiTheme="minorHAnsi"/>
          <w:i/>
          <w:color w:val="000000"/>
          <w:sz w:val="23"/>
          <w:szCs w:val="23"/>
        </w:rPr>
        <w:t>RAO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10-3)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Speakers must be compatible with Reformed theology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Speakers are expected to respect PCA distinctives in theology, polity and worship</w:t>
      </w:r>
    </w:p>
    <w:p w:rsid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Speakers may not use the General Assembly worship services as a platform for promoting their own enterprise</w:t>
      </w:r>
    </w:p>
    <w:p w:rsidR="002578C2" w:rsidRPr="00A465AA" w:rsidRDefault="002578C2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>
        <w:rPr>
          <w:rFonts w:asciiTheme="minorHAnsi" w:hAnsiTheme="minorHAnsi"/>
          <w:color w:val="000000"/>
          <w:sz w:val="23"/>
          <w:szCs w:val="23"/>
        </w:rPr>
        <w:t>For planning purposes, the Speaker must be approved at or before the October AC meeting prior to that General Assembly.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 xml:space="preserve">Worship is to be conducted within the theological parameters of the </w:t>
      </w:r>
      <w:r w:rsidRPr="00A465AA">
        <w:rPr>
          <w:rFonts w:asciiTheme="minorHAnsi" w:hAnsiTheme="minorHAnsi"/>
          <w:b/>
          <w:bCs/>
          <w:i/>
          <w:iCs/>
          <w:color w:val="000000"/>
          <w:sz w:val="23"/>
          <w:szCs w:val="23"/>
        </w:rPr>
        <w:t>Westminster Standards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(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WCF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I.6; XX; XXI; XXVII; XXIX;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 xml:space="preserve">WLC 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Qq. 107-100; Qq. 154-196;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WSC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Qq. 45-56; Qq. 89-93; 96-107).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Citations regarding the Sabbath are omitted because the Assembly does not meet on the Lord’s Day. 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Citations regarding baptism are omitted because baptism is not administered at the General Assembly.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Though only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 xml:space="preserve">BCO 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Chapters 56, 57, and 58 in our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Directory of Worship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have full constitutional status,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the principles of our Directory of Worship should be honored.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Remember that Reformed worship is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neither Prescribed (with a required detailed liturgy, such as Roman Catholic, Eastern Orthodox, Anglican, or Lutheran), nor Free-Style (with no binding parameters, such as Quaker, charismatic, or Baptist), but rather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Directed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(bound by biblical and theological principles, yet allowing freedom within those biblical and theological parameters). The biblical-theological parameters are: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Reformed worship is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biblical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Obeying and following biblical commands prohibitions, principles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Considering biblical precedents</w:t>
      </w:r>
    </w:p>
    <w:p w:rsidR="00A465AA" w:rsidRPr="00A465AA" w:rsidRDefault="00A465AA" w:rsidP="00A465AA">
      <w:pPr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Reformed worship is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God-centered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Adoration of God, by the people of God, in accordance with the word of God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God is the audience</w:t>
      </w:r>
    </w:p>
    <w:p w:rsidR="00A465AA" w:rsidRPr="00A465AA" w:rsidRDefault="00A465AA" w:rsidP="00A465AA">
      <w:pPr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Reformed worship is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participatory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The congregation is to participate in worship. Participation includes: congregational singing, common prayer, corporate confession of faith, responsive readings, unison readings, corporate confession of sin, giving offerings, or receiving communion.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Congregation should not merely observe the “worship leaders”</w:t>
      </w:r>
    </w:p>
    <w:p w:rsidR="00A465AA" w:rsidRPr="00A465AA" w:rsidRDefault="00A465AA" w:rsidP="00A465AA">
      <w:pPr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Reformed worship is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historically informed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Filter all of Church history through the grid of Scripture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Do not dismiss or feel bound by historical worship practices</w:t>
      </w:r>
    </w:p>
    <w:p w:rsidR="00A465AA" w:rsidRPr="00A465AA" w:rsidRDefault="00A465AA" w:rsidP="00A465AA">
      <w:pPr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Reformed worship is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culturally appropriate</w:t>
      </w:r>
    </w:p>
    <w:p w:rsidR="00A465AA" w:rsidRPr="00A465AA" w:rsidRDefault="00A465AA" w:rsidP="00A465AA">
      <w:pPr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The first four principles (above) may be legitimately and differently expressed in various cultural settings and at different times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Within our biblical-theological parameters, there is liberty and variety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Be considerate of the reality that </w:t>
      </w: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 xml:space="preserve">there is a spectrum of worship practices in the PCA </w:t>
      </w:r>
      <w:r w:rsidRPr="00A465AA">
        <w:rPr>
          <w:rFonts w:asciiTheme="minorHAnsi" w:hAnsiTheme="minorHAnsi"/>
          <w:color w:val="000000"/>
          <w:sz w:val="23"/>
          <w:szCs w:val="23"/>
        </w:rPr>
        <w:t>within the parameters of our constitution.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 xml:space="preserve">Avoid unnecessary offense. </w:t>
      </w:r>
      <w:r w:rsidRPr="00A465AA">
        <w:rPr>
          <w:rFonts w:asciiTheme="minorHAnsi" w:hAnsiTheme="minorHAnsi"/>
          <w:color w:val="000000"/>
          <w:sz w:val="23"/>
          <w:szCs w:val="23"/>
        </w:rPr>
        <w:t>Do not push the envelope in either extreme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High Church - choral selection sung in Latin, using only fermented wine in communion, or calling the assurance of pardon an “absolution”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Too Contemporary - liturgical dance, religious drama, or hard rock music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2"/>
        </w:numPr>
        <w:rPr>
          <w:rFonts w:asciiTheme="minorHAnsi" w:hAnsiTheme="minorHAnsi"/>
          <w:b/>
          <w:color w:val="000000"/>
          <w:sz w:val="23"/>
          <w:szCs w:val="23"/>
        </w:rPr>
      </w:pPr>
      <w:r w:rsidRPr="00A465AA">
        <w:rPr>
          <w:rFonts w:asciiTheme="minorHAnsi" w:hAnsiTheme="minorHAnsi"/>
          <w:b/>
          <w:bCs/>
          <w:color w:val="000000"/>
          <w:sz w:val="23"/>
          <w:szCs w:val="23"/>
        </w:rPr>
        <w:t>Adhere strictly to the allotted time frame for services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. </w:t>
      </w:r>
      <w:r w:rsidRPr="00A465AA">
        <w:rPr>
          <w:rFonts w:asciiTheme="minorHAnsi" w:hAnsiTheme="minorHAnsi"/>
          <w:b/>
          <w:color w:val="000000"/>
          <w:sz w:val="23"/>
          <w:szCs w:val="23"/>
        </w:rPr>
        <w:t>Start on time; end on time!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>
        <w:rPr>
          <w:rFonts w:asciiTheme="minorHAnsi" w:hAnsiTheme="minorHAnsi"/>
          <w:color w:val="000000"/>
          <w:sz w:val="23"/>
          <w:szCs w:val="23"/>
        </w:rPr>
        <w:t xml:space="preserve">The 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Assembly dockets all worship services on Wednesday and Thursday, and generously allots 1½ hours (90 minutes) as the </w:t>
      </w:r>
      <w:r w:rsidRPr="00A465AA">
        <w:rPr>
          <w:rFonts w:asciiTheme="minorHAnsi" w:hAnsiTheme="minorHAnsi"/>
          <w:color w:val="000000"/>
          <w:sz w:val="23"/>
          <w:szCs w:val="23"/>
          <w:u w:val="single"/>
        </w:rPr>
        <w:t>not-to-exceed time limit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. </w:t>
      </w:r>
      <w:r w:rsidR="002578C2">
        <w:rPr>
          <w:rFonts w:asciiTheme="minorHAnsi" w:hAnsiTheme="minorHAnsi"/>
          <w:color w:val="000000"/>
          <w:sz w:val="23"/>
          <w:szCs w:val="23"/>
        </w:rPr>
        <w:t>The Assembly also dockets a 30-minute devotional on Friday.</w:t>
      </w:r>
    </w:p>
    <w:p w:rsidR="00A465AA" w:rsidRPr="00A465AA" w:rsidRDefault="00A465AA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It is the General Assembly itself that decides the time allotted for worship services, by adopting its own docket, not the Host Committee</w:t>
      </w:r>
    </w:p>
    <w:p w:rsidR="00A465AA" w:rsidRPr="00A465AA" w:rsidRDefault="00A465AA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All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who lead in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any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parts of the worship service (prayer, reading scripture, music, preaching, administering communion, etc.) should be aware of the time limitations.</w:t>
      </w:r>
    </w:p>
    <w:p w:rsidR="00A465AA" w:rsidRPr="00A465AA" w:rsidRDefault="00A465AA" w:rsidP="00A465AA">
      <w:pPr>
        <w:pStyle w:val="ListParagraph"/>
        <w:numPr>
          <w:ilvl w:val="1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Following the worship services:</w:t>
      </w:r>
    </w:p>
    <w:p w:rsidR="00A465AA" w:rsidRPr="00A465AA" w:rsidRDefault="00511FBE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2578C2">
        <w:rPr>
          <w:rFonts w:asciiTheme="minorHAnsi" w:hAnsiTheme="minorHAnsi"/>
          <w:color w:val="000000"/>
          <w:sz w:val="23"/>
          <w:szCs w:val="23"/>
        </w:rPr>
        <w:t>Wednesday</w:t>
      </w:r>
      <w:r w:rsidR="00A465AA" w:rsidRPr="00A465AA">
        <w:rPr>
          <w:rFonts w:asciiTheme="minorHAnsi" w:hAnsiTheme="minorHAnsi"/>
          <w:color w:val="000000"/>
          <w:sz w:val="23"/>
          <w:szCs w:val="23"/>
        </w:rPr>
        <w:t xml:space="preserve"> - the election of the moderator</w:t>
      </w:r>
    </w:p>
    <w:p w:rsidR="00511FBE" w:rsidRDefault="00A465AA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Thursday - frequently the Assembly reconvenes for business</w:t>
      </w:r>
    </w:p>
    <w:p w:rsidR="00A465AA" w:rsidRPr="002578C2" w:rsidRDefault="00511FBE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2578C2">
        <w:rPr>
          <w:rFonts w:asciiTheme="minorHAnsi" w:hAnsiTheme="minorHAnsi"/>
          <w:color w:val="000000"/>
          <w:sz w:val="23"/>
          <w:szCs w:val="23"/>
        </w:rPr>
        <w:t>Friday – the Assembly will reconvene for business if needed</w:t>
      </w:r>
      <w:r w:rsidR="00A465AA" w:rsidRPr="002578C2"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A465AA" w:rsidRPr="00A465AA" w:rsidRDefault="00A465AA" w:rsidP="00A465AA">
      <w:pPr>
        <w:pStyle w:val="ListParagraph"/>
        <w:numPr>
          <w:ilvl w:val="2"/>
          <w:numId w:val="22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There is usually a 10-15 minute period of time between the ending of the service and the reconvening of the Assembly.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rPr>
          <w:rFonts w:asciiTheme="minorHAnsi" w:hAnsiTheme="minorHAnsi"/>
          <w:b/>
          <w:color w:val="1F497D" w:themeColor="text2"/>
        </w:rPr>
      </w:pPr>
      <w:r w:rsidRPr="00A465AA">
        <w:rPr>
          <w:rFonts w:asciiTheme="minorHAnsi" w:hAnsiTheme="minorHAnsi"/>
          <w:b/>
          <w:color w:val="1F497D" w:themeColor="text2"/>
        </w:rPr>
        <w:t>The Structure of the Services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An accepted principle of worship is that the structure of the service (order of worship, or shape of the liturgy) should itself be a proclamation or re-presentation of the Gospel.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In his “Gospel Worship Seminar,” Bryan Chapell cites a common flow, looking across the historic structures in Western Christianity:</w:t>
      </w:r>
    </w:p>
    <w:p w:rsidR="00A465AA" w:rsidRPr="00A465AA" w:rsidRDefault="00A465AA" w:rsidP="00A465AA">
      <w:pPr>
        <w:numPr>
          <w:ilvl w:val="0"/>
          <w:numId w:val="16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Recognition of God’s character</w:t>
      </w:r>
    </w:p>
    <w:p w:rsidR="00A465AA" w:rsidRPr="00A465AA" w:rsidRDefault="00A465AA" w:rsidP="00A465AA">
      <w:pPr>
        <w:numPr>
          <w:ilvl w:val="0"/>
          <w:numId w:val="16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Confession of our character</w:t>
      </w:r>
    </w:p>
    <w:p w:rsidR="00A465AA" w:rsidRPr="00A465AA" w:rsidRDefault="00A465AA" w:rsidP="00A465AA">
      <w:pPr>
        <w:numPr>
          <w:ilvl w:val="0"/>
          <w:numId w:val="16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Affirmation of God’s grace</w:t>
      </w:r>
    </w:p>
    <w:p w:rsidR="00A465AA" w:rsidRPr="00A465AA" w:rsidRDefault="00A465AA" w:rsidP="00A465AA">
      <w:pPr>
        <w:numPr>
          <w:ilvl w:val="0"/>
          <w:numId w:val="16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Instruction for personal transformation</w:t>
      </w:r>
    </w:p>
    <w:p w:rsidR="00A465AA" w:rsidRPr="00A465AA" w:rsidRDefault="00A465AA" w:rsidP="00A465AA">
      <w:pPr>
        <w:numPr>
          <w:ilvl w:val="0"/>
          <w:numId w:val="16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Responding in Covenant faithfulness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In his worship course at Reformed Theological Seminary, L. Roy Taylor advocated a similar flow:</w:t>
      </w:r>
    </w:p>
    <w:p w:rsidR="00A465AA" w:rsidRPr="00A465AA" w:rsidRDefault="00A465AA" w:rsidP="00A465AA">
      <w:pPr>
        <w:numPr>
          <w:ilvl w:val="0"/>
          <w:numId w:val="17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God’s Glory </w:t>
      </w:r>
      <w:r>
        <w:rPr>
          <w:rFonts w:asciiTheme="minorHAnsi" w:hAnsiTheme="minorHAnsi"/>
          <w:color w:val="000000"/>
          <w:sz w:val="23"/>
          <w:szCs w:val="23"/>
        </w:rPr>
        <w:t>–</w:t>
      </w:r>
      <w:r w:rsidRPr="00A465AA">
        <w:rPr>
          <w:rFonts w:asciiTheme="minorHAnsi" w:hAnsiTheme="minorHAnsi"/>
          <w:color w:val="000000"/>
          <w:sz w:val="23"/>
          <w:szCs w:val="23"/>
        </w:rPr>
        <w:t xml:space="preserve"> Adoration</w:t>
      </w:r>
    </w:p>
    <w:p w:rsidR="00A465AA" w:rsidRPr="00A465AA" w:rsidRDefault="00A465AA" w:rsidP="00A465AA">
      <w:pPr>
        <w:numPr>
          <w:ilvl w:val="0"/>
          <w:numId w:val="17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Our Guilt</w:t>
      </w:r>
    </w:p>
    <w:p w:rsidR="00A465AA" w:rsidRPr="00A465AA" w:rsidRDefault="00A465AA" w:rsidP="00A465AA">
      <w:pPr>
        <w:numPr>
          <w:ilvl w:val="0"/>
          <w:numId w:val="17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God’s Grace - Combining the affirmation of God’s grace and biblical instruction for personal transformation</w:t>
      </w:r>
    </w:p>
    <w:p w:rsidR="00A465AA" w:rsidRPr="00A465AA" w:rsidRDefault="00A465AA" w:rsidP="00A465AA">
      <w:pPr>
        <w:numPr>
          <w:ilvl w:val="0"/>
          <w:numId w:val="17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Our Gratitude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0"/>
        </w:rPr>
      </w:pP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The various components of the service may then be included in an order of worship that represents the Gospel. For example: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3"/>
          <w:szCs w:val="23"/>
        </w:rPr>
      </w:pPr>
    </w:p>
    <w:p w:rsidR="00A465AA" w:rsidRPr="00A465AA" w:rsidRDefault="00A465AA" w:rsidP="00A465AA">
      <w:pPr>
        <w:numPr>
          <w:ilvl w:val="0"/>
          <w:numId w:val="18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God’s Glory - Adoration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Call to worship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Doxology, Psalms, Hymns or spiritual Songs of Adoration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Prayers of Adoration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Scripture readings focusing on God’s character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Confession of Faith [Apostles Creed, Nicene Creed, biblical confessions of faith such as I Timothy 3:16, Philippians 2:9-11, or </w:t>
      </w:r>
      <w:r w:rsidRPr="00A465AA">
        <w:rPr>
          <w:rFonts w:asciiTheme="minorHAnsi" w:hAnsiTheme="minorHAnsi"/>
          <w:i/>
          <w:iCs/>
          <w:color w:val="000000"/>
          <w:sz w:val="23"/>
          <w:szCs w:val="23"/>
        </w:rPr>
        <w:t>Westminster Standards</w:t>
      </w:r>
      <w:r w:rsidRPr="00A465AA">
        <w:rPr>
          <w:rFonts w:asciiTheme="minorHAnsi" w:hAnsiTheme="minorHAnsi"/>
          <w:color w:val="000000"/>
          <w:sz w:val="23"/>
          <w:szCs w:val="23"/>
        </w:rPr>
        <w:t>]. There are also musical settings of the Apostle’s Creed, see new Trinity Hymnal, 741, 742.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0"/>
        </w:rPr>
      </w:pPr>
    </w:p>
    <w:p w:rsidR="00A465AA" w:rsidRPr="00A465AA" w:rsidRDefault="00A465AA" w:rsidP="00A465AA">
      <w:pPr>
        <w:numPr>
          <w:ilvl w:val="0"/>
          <w:numId w:val="19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Our Guilt.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Corporate confession of sin via adapted scripture readings (ex. Psalm 51, 32, etc.), common prayer of confession read or sung, a litany of confession, Ten Commandments and/or Two Great Commandments read or sung, see new Trinity Hymnal, 724.</w:t>
      </w:r>
    </w:p>
    <w:p w:rsid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Individual, silent prayers of confession.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0"/>
        </w:rPr>
      </w:pPr>
    </w:p>
    <w:p w:rsidR="00A465AA" w:rsidRPr="00A465AA" w:rsidRDefault="00A465AA" w:rsidP="00A465AA">
      <w:pPr>
        <w:numPr>
          <w:ilvl w:val="0"/>
          <w:numId w:val="20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God’s Grace - Combining the affirmation of God’s grace and biblical instruction for personal transformation.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Assurance of pardon, appropriate passages of scripture read, declaration by minister.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Congregational Response – a doxology, Psalms, Hymns or spiritual Songs of thanksgiving, prayers of thanksgiving (extemporaneous, directed, litany, collect, or common prayer).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 xml:space="preserve">Prayers of supplication (for ourselves) and intercession (for others) </w:t>
      </w:r>
      <w:r w:rsidRPr="00A465AA">
        <w:rPr>
          <w:rFonts w:asciiTheme="minorHAnsi" w:hAnsiTheme="minorHAnsi"/>
          <w:color w:val="000000"/>
          <w:sz w:val="23"/>
          <w:szCs w:val="23"/>
        </w:rPr>
        <w:br/>
        <w:t>[a.k.a. “Pastoral prayer,” “the long prayer,” “prayers of the people”].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Scripture reading(s) - OT &amp; NT (written word of God).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Prayer for illumination - understand of Scripture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Sermon, (proclaimed word of God), exposition and application of the word of God, biblical instruction for personal transformation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Psalms, Hymns or spiritual Songs of response to the word of God.</w:t>
      </w:r>
    </w:p>
    <w:p w:rsidR="00A465AA" w:rsidRPr="00A465AA" w:rsidRDefault="00A465AA" w:rsidP="00A465AA">
      <w:pPr>
        <w:rPr>
          <w:rFonts w:asciiTheme="minorHAnsi" w:hAnsiTheme="minorHAnsi"/>
          <w:color w:val="000000"/>
          <w:sz w:val="20"/>
        </w:rPr>
      </w:pPr>
    </w:p>
    <w:p w:rsidR="00A465AA" w:rsidRPr="00A465AA" w:rsidRDefault="00A465AA" w:rsidP="00A465AA">
      <w:pPr>
        <w:numPr>
          <w:ilvl w:val="0"/>
          <w:numId w:val="21"/>
        </w:numPr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Our Gratitude.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Giving - tithes, gifts, offerings, alms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Offertory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Communion - if administered, see details on Communion Service Guidelines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</w:tabs>
        <w:ind w:left="1080"/>
        <w:rPr>
          <w:rFonts w:asciiTheme="minorHAnsi" w:hAnsiTheme="minorHAnsi"/>
          <w:color w:val="000000"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Benediction</w:t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8383" wp14:editId="3FCEEB9E">
                <wp:simplePos x="0" y="0"/>
                <wp:positionH relativeFrom="column">
                  <wp:posOffset>66675</wp:posOffset>
                </wp:positionH>
                <wp:positionV relativeFrom="paragraph">
                  <wp:posOffset>82550</wp:posOffset>
                </wp:positionV>
                <wp:extent cx="5924550" cy="9906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5AA" w:rsidRPr="00A465AA" w:rsidRDefault="00A465AA" w:rsidP="00A465AA">
                            <w:pPr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</w:pPr>
                            <w:r w:rsidRPr="00A465AA">
                              <w:rPr>
                                <w:rFonts w:asciiTheme="minorHAnsi" w:hAnsiTheme="minorHAnsi"/>
                                <w:b/>
                                <w:sz w:val="23"/>
                                <w:szCs w:val="23"/>
                              </w:rPr>
                              <w:t>Worship Speaker</w:t>
                            </w: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A465AA">
                              <w:rPr>
                                <w:rFonts w:asciiTheme="minorHAnsi" w:hAnsiTheme="minorHAnsi"/>
                                <w:b/>
                                <w:sz w:val="23"/>
                                <w:szCs w:val="23"/>
                              </w:rPr>
                              <w:t>Deadlines</w:t>
                            </w:r>
                          </w:p>
                          <w:p w:rsidR="00A465AA" w:rsidRPr="00A465AA" w:rsidRDefault="00A465AA" w:rsidP="00A465AA">
                            <w:pPr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</w:pP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 xml:space="preserve">- One month prior: </w:t>
                            </w:r>
                            <w:r w:rsidRPr="00A465AA">
                              <w:rPr>
                                <w:rFonts w:asciiTheme="minorHAnsi" w:hAnsiTheme="minorHAnsi"/>
                                <w:b/>
                                <w:sz w:val="23"/>
                                <w:szCs w:val="23"/>
                              </w:rPr>
                              <w:t>Speaker Release Form</w:t>
                            </w: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 xml:space="preserve"> (provided by AC)</w:t>
                            </w:r>
                          </w:p>
                          <w:p w:rsidR="00A465AA" w:rsidRPr="00A465AA" w:rsidRDefault="00A465AA" w:rsidP="00A465AA">
                            <w:pPr>
                              <w:ind w:left="720"/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</w:pP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>- If the release form is not provided the sermon will not be recorded or webcast</w:t>
                            </w:r>
                          </w:p>
                          <w:p w:rsidR="00A465AA" w:rsidRPr="00A465AA" w:rsidRDefault="00A465AA" w:rsidP="00A465AA">
                            <w:pPr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</w:pP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 xml:space="preserve">- Three weeks out: </w:t>
                            </w:r>
                            <w:r w:rsidRPr="00A465AA">
                              <w:rPr>
                                <w:rFonts w:asciiTheme="minorHAnsi" w:hAnsiTheme="minorHAnsi"/>
                                <w:b/>
                                <w:sz w:val="23"/>
                                <w:szCs w:val="23"/>
                              </w:rPr>
                              <w:t>Sermon Title and Scripture Reference</w:t>
                            </w:r>
                          </w:p>
                          <w:p w:rsidR="00A465AA" w:rsidRPr="00A465AA" w:rsidRDefault="00A465AA" w:rsidP="00A465AA">
                            <w:pPr>
                              <w:ind w:left="720"/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</w:pPr>
                            <w:r w:rsidRPr="00A465AA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>- Needed for worship program publication and recording sales preparation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183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25pt;margin-top:6.5pt;width:466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" fillcolor="#d8d8d8 [2732]" strokecolor="#d8d8d8 [2732]">
                <v:textbox>
                  <w:txbxContent>
                    <w:p w:rsidR="00A465AA" w:rsidRPr="00A465AA" w:rsidRDefault="00A465AA" w:rsidP="00A465AA">
                      <w:pPr>
                        <w:rPr>
                          <w:rFonts w:asciiTheme="minorHAnsi" w:hAnsiTheme="minorHAnsi"/>
                          <w:sz w:val="23"/>
                          <w:szCs w:val="23"/>
                        </w:rPr>
                      </w:pPr>
                      <w:r w:rsidRPr="00A465AA">
                        <w:rPr>
                          <w:rFonts w:asciiTheme="minorHAnsi" w:hAnsiTheme="minorHAnsi"/>
                          <w:b/>
                          <w:sz w:val="23"/>
                          <w:szCs w:val="23"/>
                        </w:rPr>
                        <w:t>Worship Speaker</w:t>
                      </w: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 xml:space="preserve"> </w:t>
                      </w:r>
                      <w:r w:rsidRPr="00A465AA">
                        <w:rPr>
                          <w:rFonts w:asciiTheme="minorHAnsi" w:hAnsiTheme="minorHAnsi"/>
                          <w:b/>
                          <w:sz w:val="23"/>
                          <w:szCs w:val="23"/>
                        </w:rPr>
                        <w:t>Deadlines</w:t>
                      </w:r>
                    </w:p>
                    <w:p w:rsidR="00A465AA" w:rsidRPr="00A465AA" w:rsidRDefault="00A465AA" w:rsidP="00A465AA">
                      <w:pPr>
                        <w:rPr>
                          <w:rFonts w:asciiTheme="minorHAnsi" w:hAnsiTheme="minorHAnsi"/>
                          <w:sz w:val="23"/>
                          <w:szCs w:val="23"/>
                        </w:rPr>
                      </w:pP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 xml:space="preserve">- One month prior: </w:t>
                      </w:r>
                      <w:r w:rsidRPr="00A465AA">
                        <w:rPr>
                          <w:rFonts w:asciiTheme="minorHAnsi" w:hAnsiTheme="minorHAnsi"/>
                          <w:b/>
                          <w:sz w:val="23"/>
                          <w:szCs w:val="23"/>
                        </w:rPr>
                        <w:t>Speaker Release Form</w:t>
                      </w: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 xml:space="preserve"> (provided by AC)</w:t>
                      </w:r>
                    </w:p>
                    <w:p w:rsidR="00A465AA" w:rsidRPr="00A465AA" w:rsidRDefault="00A465AA" w:rsidP="00A465AA">
                      <w:pPr>
                        <w:ind w:left="720"/>
                        <w:rPr>
                          <w:rFonts w:asciiTheme="minorHAnsi" w:hAnsiTheme="minorHAnsi"/>
                          <w:sz w:val="23"/>
                          <w:szCs w:val="23"/>
                        </w:rPr>
                      </w:pP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>- If the release form is not provided the sermon will not be recorded or webcast</w:t>
                      </w:r>
                    </w:p>
                    <w:p w:rsidR="00A465AA" w:rsidRPr="00A465AA" w:rsidRDefault="00A465AA" w:rsidP="00A465AA">
                      <w:pPr>
                        <w:rPr>
                          <w:rFonts w:asciiTheme="minorHAnsi" w:hAnsiTheme="minorHAnsi"/>
                          <w:sz w:val="23"/>
                          <w:szCs w:val="23"/>
                        </w:rPr>
                      </w:pP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 xml:space="preserve">- Three weeks out: </w:t>
                      </w:r>
                      <w:r w:rsidRPr="00A465AA">
                        <w:rPr>
                          <w:rFonts w:asciiTheme="minorHAnsi" w:hAnsiTheme="minorHAnsi"/>
                          <w:b/>
                          <w:sz w:val="23"/>
                          <w:szCs w:val="23"/>
                        </w:rPr>
                        <w:t>Sermon Title and Scripture Reference</w:t>
                      </w:r>
                    </w:p>
                    <w:p w:rsidR="00A465AA" w:rsidRPr="00A465AA" w:rsidRDefault="00A465AA" w:rsidP="00A465AA">
                      <w:pPr>
                        <w:ind w:left="720"/>
                        <w:rPr>
                          <w:rFonts w:asciiTheme="minorHAnsi" w:hAnsiTheme="minorHAnsi"/>
                          <w:sz w:val="23"/>
                          <w:szCs w:val="23"/>
                        </w:rPr>
                      </w:pPr>
                      <w:r w:rsidRPr="00A465AA">
                        <w:rPr>
                          <w:rFonts w:asciiTheme="minorHAnsi" w:hAnsiTheme="minorHAnsi"/>
                          <w:sz w:val="23"/>
                          <w:szCs w:val="23"/>
                        </w:rPr>
                        <w:t>- Needed for worship program publication and recording sales preparation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sz w:val="23"/>
          <w:szCs w:val="23"/>
          <w:u w:val="single"/>
        </w:rPr>
      </w:pP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sz w:val="23"/>
          <w:szCs w:val="23"/>
          <w:u w:val="single"/>
        </w:rPr>
      </w:pP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sz w:val="23"/>
          <w:szCs w:val="23"/>
          <w:u w:val="single"/>
        </w:rPr>
      </w:pPr>
    </w:p>
    <w:p w:rsid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color w:val="1F497D" w:themeColor="text2"/>
          <w:sz w:val="23"/>
          <w:szCs w:val="23"/>
        </w:rPr>
      </w:pPr>
    </w:p>
    <w:p w:rsid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color w:val="1F497D" w:themeColor="text2"/>
        </w:rPr>
      </w:pPr>
      <w:r>
        <w:rPr>
          <w:rFonts w:asciiTheme="minorHAnsi" w:hAnsiTheme="minorHAnsi"/>
          <w:b/>
          <w:iCs/>
          <w:color w:val="1F497D" w:themeColor="text2"/>
        </w:rPr>
        <w:br w:type="page"/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b/>
          <w:iCs/>
          <w:color w:val="1F497D" w:themeColor="text2"/>
        </w:rPr>
      </w:pPr>
      <w:r w:rsidRPr="00A465AA">
        <w:rPr>
          <w:rFonts w:asciiTheme="minorHAnsi" w:hAnsiTheme="minorHAnsi"/>
          <w:b/>
          <w:iCs/>
          <w:color w:val="1F497D" w:themeColor="text2"/>
        </w:rPr>
        <w:lastRenderedPageBreak/>
        <w:t>Music Team Tips</w:t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</w:p>
    <w:p w:rsidR="00A465AA" w:rsidRPr="00A465AA" w:rsidRDefault="00A465AA" w:rsidP="00A465AA">
      <w:pPr>
        <w:numPr>
          <w:ilvl w:val="0"/>
          <w:numId w:val="21"/>
        </w:numPr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Coordinate with AC for move-in, rehearsal, and sound checks</w:t>
      </w:r>
    </w:p>
    <w:p w:rsidR="00A465AA" w:rsidRDefault="00A465AA" w:rsidP="00A465AA">
      <w:pPr>
        <w:rPr>
          <w:rFonts w:asciiTheme="minorHAnsi" w:hAnsiTheme="minorHAnsi"/>
          <w:iCs/>
          <w:sz w:val="23"/>
          <w:szCs w:val="23"/>
        </w:rPr>
      </w:pPr>
    </w:p>
    <w:p w:rsidR="00A465AA" w:rsidRPr="004D5162" w:rsidRDefault="00A465AA" w:rsidP="00A465AA">
      <w:pPr>
        <w:numPr>
          <w:ilvl w:val="0"/>
          <w:numId w:val="25"/>
        </w:num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>
        <w:rPr>
          <w:rFonts w:asciiTheme="minorHAnsi" w:hAnsiTheme="minorHAnsi"/>
          <w:iCs/>
          <w:sz w:val="23"/>
          <w:szCs w:val="23"/>
        </w:rPr>
        <w:t>Traditionally there is a pre-worship music time (30 minutes) prior to the beginning of the each worship service</w:t>
      </w:r>
    </w:p>
    <w:p w:rsidR="00A465AA" w:rsidRPr="00A465AA" w:rsidRDefault="00A465AA" w:rsidP="00A465AA">
      <w:pPr>
        <w:rPr>
          <w:rFonts w:asciiTheme="minorHAnsi" w:hAnsiTheme="minorHAnsi"/>
          <w:iCs/>
          <w:sz w:val="23"/>
          <w:szCs w:val="23"/>
        </w:rPr>
      </w:pPr>
    </w:p>
    <w:p w:rsidR="00A465AA" w:rsidRPr="00A465AA" w:rsidRDefault="00A465AA" w:rsidP="00A465AA">
      <w:pPr>
        <w:numPr>
          <w:ilvl w:val="0"/>
          <w:numId w:val="21"/>
        </w:numPr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color w:val="000000"/>
          <w:sz w:val="23"/>
          <w:szCs w:val="23"/>
        </w:rPr>
        <w:t>Provide all riders that include necessary audio-visual equipment – two months prior</w:t>
      </w:r>
    </w:p>
    <w:p w:rsidR="00A465AA" w:rsidRPr="00A465AA" w:rsidRDefault="00A465AA" w:rsidP="00A465AA">
      <w:pPr>
        <w:ind w:left="720"/>
        <w:rPr>
          <w:rFonts w:asciiTheme="minorHAnsi" w:hAnsiTheme="minorHAnsi"/>
          <w:iCs/>
          <w:sz w:val="23"/>
          <w:szCs w:val="23"/>
        </w:rPr>
      </w:pPr>
    </w:p>
    <w:p w:rsidR="00A465AA" w:rsidRPr="00A465AA" w:rsidRDefault="00A465AA" w:rsidP="00A465AA">
      <w:pPr>
        <w:numPr>
          <w:ilvl w:val="0"/>
          <w:numId w:val="21"/>
        </w:numPr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Submit Talent Release Form – one month prior</w:t>
      </w:r>
    </w:p>
    <w:p w:rsidR="00A465AA" w:rsidRPr="00A465AA" w:rsidRDefault="00A465AA" w:rsidP="00A465AA">
      <w:pPr>
        <w:numPr>
          <w:ilvl w:val="1"/>
          <w:numId w:val="21"/>
        </w:num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This release form is required for webcast</w:t>
      </w:r>
    </w:p>
    <w:p w:rsidR="00A465AA" w:rsidRPr="00A465AA" w:rsidRDefault="00A465AA" w:rsidP="00A465AA">
      <w:pPr>
        <w:numPr>
          <w:ilvl w:val="1"/>
          <w:numId w:val="21"/>
        </w:num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If there is a choir or musical group, one person may complete the release form for the whole group.</w:t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4"/>
        </w:num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Worship Music – we must abide by all copyright and webcasting regulations.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  <w:tab w:val="left" w:pos="3780"/>
          <w:tab w:val="left" w:pos="4050"/>
        </w:tabs>
        <w:ind w:left="108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When printing lyrics in the worship bulletins or on PowerPoint slides, please include the PCA General Assembly CCLI number 79205.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  <w:tab w:val="left" w:pos="3780"/>
          <w:tab w:val="left" w:pos="4050"/>
        </w:tabs>
        <w:ind w:left="108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We must report all song used to CCLI. Please provide: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The CCLI song number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Song Name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Writer or Composer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Publishing Company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Year the Song was Published</w:t>
      </w:r>
    </w:p>
    <w:p w:rsidR="00A465AA" w:rsidRPr="00A465AA" w:rsidRDefault="00A465AA" w:rsidP="00A465AA">
      <w:pPr>
        <w:numPr>
          <w:ilvl w:val="2"/>
          <w:numId w:val="6"/>
        </w:numPr>
        <w:tabs>
          <w:tab w:val="clear" w:pos="2160"/>
          <w:tab w:val="num" w:pos="1800"/>
          <w:tab w:val="left" w:pos="3780"/>
          <w:tab w:val="left" w:pos="4050"/>
        </w:tabs>
        <w:ind w:left="180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Please indicate if the song is public domain</w:t>
      </w:r>
    </w:p>
    <w:p w:rsidR="00A465AA" w:rsidRPr="00A465AA" w:rsidRDefault="00A465AA" w:rsidP="00A465AA">
      <w:p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</w:p>
    <w:p w:rsidR="00A465AA" w:rsidRPr="00A465AA" w:rsidRDefault="00A465AA" w:rsidP="00A465AA">
      <w:pPr>
        <w:pStyle w:val="ListParagraph"/>
        <w:numPr>
          <w:ilvl w:val="0"/>
          <w:numId w:val="24"/>
        </w:numPr>
        <w:tabs>
          <w:tab w:val="left" w:pos="3780"/>
          <w:tab w:val="left" w:pos="4050"/>
        </w:tabs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PowerPoint slides of worship lyrics and sermon notes: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  <w:tab w:val="left" w:pos="3780"/>
          <w:tab w:val="left" w:pos="4050"/>
        </w:tabs>
        <w:ind w:left="108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The AC will provide the needed technical specs</w:t>
      </w:r>
    </w:p>
    <w:p w:rsidR="00A465AA" w:rsidRPr="00A465AA" w:rsidRDefault="00A465AA" w:rsidP="00A465AA">
      <w:pPr>
        <w:numPr>
          <w:ilvl w:val="1"/>
          <w:numId w:val="6"/>
        </w:numPr>
        <w:tabs>
          <w:tab w:val="clear" w:pos="1440"/>
          <w:tab w:val="num" w:pos="1080"/>
          <w:tab w:val="left" w:pos="3780"/>
          <w:tab w:val="left" w:pos="4050"/>
        </w:tabs>
        <w:ind w:left="1080"/>
        <w:rPr>
          <w:rFonts w:asciiTheme="minorHAnsi" w:hAnsiTheme="minorHAnsi"/>
          <w:iCs/>
          <w:sz w:val="23"/>
          <w:szCs w:val="23"/>
        </w:rPr>
      </w:pPr>
      <w:r w:rsidRPr="00A465AA">
        <w:rPr>
          <w:rFonts w:asciiTheme="minorHAnsi" w:hAnsiTheme="minorHAnsi"/>
          <w:iCs/>
          <w:sz w:val="23"/>
          <w:szCs w:val="23"/>
        </w:rPr>
        <w:t>Provide slides at least one month prior to the General Assembly</w:t>
      </w:r>
    </w:p>
    <w:p w:rsidR="00E96AF9" w:rsidRPr="005607BE" w:rsidRDefault="00E96AF9" w:rsidP="005607BE">
      <w:pPr>
        <w:ind w:left="720" w:right="720"/>
        <w:jc w:val="both"/>
        <w:rPr>
          <w:rFonts w:ascii="Verdana" w:hAnsi="Verdana" w:cs="Tahoma"/>
          <w:sz w:val="20"/>
        </w:rPr>
      </w:pPr>
    </w:p>
    <w:p w:rsidR="00C7704D" w:rsidRDefault="00C7704D">
      <w:pPr>
        <w:rPr>
          <w:rFonts w:ascii="Verdana" w:hAnsi="Verdana"/>
        </w:rPr>
      </w:pPr>
      <w:bookmarkStart w:id="0" w:name="_GoBack"/>
      <w:bookmarkEnd w:id="0"/>
    </w:p>
    <w:sectPr w:rsidR="00C7704D">
      <w:headerReference w:type="default" r:id="rId8"/>
      <w:footerReference w:type="default" r:id="rId9"/>
      <w:pgSz w:w="12240" w:h="15840"/>
      <w:pgMar w:top="72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1C5" w:rsidRDefault="006A11C5">
      <w:r>
        <w:separator/>
      </w:r>
    </w:p>
  </w:endnote>
  <w:endnote w:type="continuationSeparator" w:id="0">
    <w:p w:rsidR="006A11C5" w:rsidRDefault="006A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04D" w:rsidRDefault="006D50B2">
    <w:pPr>
      <w:pStyle w:val="Footer"/>
      <w:jc w:val="right"/>
    </w:pPr>
    <w:r>
      <w:t>1</w:t>
    </w:r>
    <w:r w:rsidR="002578C2">
      <w:t>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1C5" w:rsidRDefault="006A11C5">
      <w:r>
        <w:separator/>
      </w:r>
    </w:p>
  </w:footnote>
  <w:footnote w:type="continuationSeparator" w:id="0">
    <w:p w:rsidR="006A11C5" w:rsidRDefault="006A1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04D" w:rsidRDefault="00C7704D">
    <w:pPr>
      <w:pStyle w:val="Header"/>
      <w:jc w:val="right"/>
    </w:pPr>
    <w:r>
      <w:t>046</w:t>
    </w:r>
    <w:r w:rsidR="00E96AF9">
      <w:t>-</w:t>
    </w:r>
    <w:r w:rsidR="00E96AF9">
      <w:rPr>
        <w:rStyle w:val="PageNumber"/>
      </w:rPr>
      <w:fldChar w:fldCharType="begin"/>
    </w:r>
    <w:r w:rsidR="00E96AF9">
      <w:rPr>
        <w:rStyle w:val="PageNumber"/>
      </w:rPr>
      <w:instrText xml:space="preserve"> PAGE </w:instrText>
    </w:r>
    <w:r w:rsidR="00E96AF9">
      <w:rPr>
        <w:rStyle w:val="PageNumber"/>
      </w:rPr>
      <w:fldChar w:fldCharType="separate"/>
    </w:r>
    <w:r w:rsidR="00FB1824">
      <w:rPr>
        <w:rStyle w:val="PageNumber"/>
        <w:noProof/>
      </w:rPr>
      <w:t>5</w:t>
    </w:r>
    <w:r w:rsidR="00E96AF9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B94"/>
    <w:multiLevelType w:val="hybridMultilevel"/>
    <w:tmpl w:val="979A65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AA0A88"/>
    <w:multiLevelType w:val="hybridMultilevel"/>
    <w:tmpl w:val="720A4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97305"/>
    <w:multiLevelType w:val="hybridMultilevel"/>
    <w:tmpl w:val="C43818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A460C"/>
    <w:multiLevelType w:val="hybridMultilevel"/>
    <w:tmpl w:val="D4FC4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39BF"/>
    <w:multiLevelType w:val="hybridMultilevel"/>
    <w:tmpl w:val="01A21C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E0A97"/>
    <w:multiLevelType w:val="hybridMultilevel"/>
    <w:tmpl w:val="073E4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FF4B98"/>
    <w:multiLevelType w:val="hybridMultilevel"/>
    <w:tmpl w:val="723A99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8A2F3E"/>
    <w:multiLevelType w:val="hybridMultilevel"/>
    <w:tmpl w:val="10DC1AC4"/>
    <w:lvl w:ilvl="0" w:tplc="C0A86410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46D106FA"/>
    <w:multiLevelType w:val="hybridMultilevel"/>
    <w:tmpl w:val="CBE48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164D6"/>
    <w:multiLevelType w:val="hybridMultilevel"/>
    <w:tmpl w:val="6FAEF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52379D"/>
    <w:multiLevelType w:val="hybridMultilevel"/>
    <w:tmpl w:val="79B0E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B11DB"/>
    <w:multiLevelType w:val="hybridMultilevel"/>
    <w:tmpl w:val="39444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CE339F"/>
    <w:multiLevelType w:val="hybridMultilevel"/>
    <w:tmpl w:val="49CC71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A64D9B"/>
    <w:multiLevelType w:val="hybridMultilevel"/>
    <w:tmpl w:val="08308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AD1B80"/>
    <w:multiLevelType w:val="hybridMultilevel"/>
    <w:tmpl w:val="62C490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41673E"/>
    <w:multiLevelType w:val="hybridMultilevel"/>
    <w:tmpl w:val="12BAC2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96401"/>
    <w:multiLevelType w:val="hybridMultilevel"/>
    <w:tmpl w:val="79E85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070644"/>
    <w:multiLevelType w:val="hybridMultilevel"/>
    <w:tmpl w:val="961AD6E0"/>
    <w:lvl w:ilvl="0" w:tplc="C64A8EB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1" w:tplc="CC4045FC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998171D"/>
    <w:multiLevelType w:val="hybridMultilevel"/>
    <w:tmpl w:val="59FE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14"/>
  </w:num>
  <w:num w:numId="5">
    <w:abstractNumId w:val="15"/>
  </w:num>
  <w:num w:numId="6">
    <w:abstractNumId w:val="4"/>
  </w:num>
  <w:num w:numId="7">
    <w:abstractNumId w:val="6"/>
  </w:num>
  <w:num w:numId="8">
    <w:abstractNumId w:val="0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16"/>
  </w:num>
  <w:num w:numId="17">
    <w:abstractNumId w:val="9"/>
  </w:num>
  <w:num w:numId="18">
    <w:abstractNumId w:val="12"/>
  </w:num>
  <w:num w:numId="19">
    <w:abstractNumId w:val="5"/>
  </w:num>
  <w:num w:numId="20">
    <w:abstractNumId w:val="13"/>
  </w:num>
  <w:num w:numId="21">
    <w:abstractNumId w:val="11"/>
  </w:num>
  <w:num w:numId="22">
    <w:abstractNumId w:val="3"/>
  </w:num>
  <w:num w:numId="23">
    <w:abstractNumId w:val="8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1A"/>
    <w:rsid w:val="000E1415"/>
    <w:rsid w:val="00254257"/>
    <w:rsid w:val="002578C2"/>
    <w:rsid w:val="00511FBE"/>
    <w:rsid w:val="0055340C"/>
    <w:rsid w:val="005607BE"/>
    <w:rsid w:val="005C343F"/>
    <w:rsid w:val="005E3E40"/>
    <w:rsid w:val="006A11C5"/>
    <w:rsid w:val="006D50B2"/>
    <w:rsid w:val="0082007E"/>
    <w:rsid w:val="00845207"/>
    <w:rsid w:val="008E24A2"/>
    <w:rsid w:val="009B6AC9"/>
    <w:rsid w:val="00A465AA"/>
    <w:rsid w:val="00AF24F3"/>
    <w:rsid w:val="00C0350D"/>
    <w:rsid w:val="00C7704D"/>
    <w:rsid w:val="00D634D3"/>
    <w:rsid w:val="00E4391A"/>
    <w:rsid w:val="00E96AF9"/>
    <w:rsid w:val="00EF507E"/>
    <w:rsid w:val="00FB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06A8D"/>
  <w15:docId w15:val="{A1BF68DD-E2D9-46B3-B04B-CA0B5CC3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OC2">
    <w:name w:val="toc 2"/>
    <w:autoRedefine/>
    <w:semiHidden/>
    <w:pPr>
      <w:tabs>
        <w:tab w:val="left" w:pos="748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numberindent1">
    <w:name w:val="number indent 1"/>
    <w:pPr>
      <w:tabs>
        <w:tab w:val="left" w:pos="480"/>
        <w:tab w:val="right" w:pos="9360"/>
      </w:tabs>
      <w:overflowPunct w:val="0"/>
      <w:autoSpaceDE w:val="0"/>
      <w:autoSpaceDN w:val="0"/>
      <w:adjustRightInd w:val="0"/>
      <w:spacing w:line="220" w:lineRule="exact"/>
      <w:ind w:left="480" w:hanging="480"/>
      <w:jc w:val="both"/>
      <w:textAlignment w:val="baseline"/>
    </w:pPr>
    <w:rPr>
      <w:rFonts w:ascii="Tms Rmn" w:hAnsi="Tms Rmn"/>
    </w:rPr>
  </w:style>
  <w:style w:type="paragraph" w:customStyle="1" w:styleId="numberindent2">
    <w:name w:val="number indent 2"/>
    <w:pPr>
      <w:tabs>
        <w:tab w:val="left" w:pos="960"/>
        <w:tab w:val="right" w:pos="9360"/>
      </w:tabs>
      <w:overflowPunct w:val="0"/>
      <w:autoSpaceDE w:val="0"/>
      <w:autoSpaceDN w:val="0"/>
      <w:adjustRightInd w:val="0"/>
      <w:spacing w:line="220" w:lineRule="exact"/>
      <w:ind w:left="960" w:hanging="480"/>
      <w:jc w:val="both"/>
      <w:textAlignment w:val="baseline"/>
    </w:pPr>
    <w:rPr>
      <w:rFonts w:ascii="Tms Rmn" w:hAnsi="Tms Rmn"/>
    </w:rPr>
  </w:style>
  <w:style w:type="paragraph" w:customStyle="1" w:styleId="numberindent3">
    <w:name w:val="number indent 3"/>
    <w:pPr>
      <w:tabs>
        <w:tab w:val="left" w:pos="1440"/>
      </w:tabs>
      <w:overflowPunct w:val="0"/>
      <w:autoSpaceDE w:val="0"/>
      <w:autoSpaceDN w:val="0"/>
      <w:adjustRightInd w:val="0"/>
      <w:spacing w:line="220" w:lineRule="exact"/>
      <w:ind w:left="1440" w:hanging="480"/>
      <w:jc w:val="both"/>
      <w:textAlignment w:val="baseline"/>
    </w:pPr>
    <w:rPr>
      <w:rFonts w:ascii="Tms Rmn" w:hAnsi="Tms Rmn"/>
    </w:rPr>
  </w:style>
  <w:style w:type="paragraph" w:styleId="TOC1">
    <w:name w:val="toc 1"/>
    <w:autoRedefine/>
    <w:semiHidden/>
    <w:pPr>
      <w:tabs>
        <w:tab w:val="left" w:pos="-1890"/>
        <w:tab w:val="left" w:pos="720"/>
        <w:tab w:val="left" w:pos="1440"/>
        <w:tab w:val="left" w:pos="2244"/>
      </w:tabs>
      <w:overflowPunct w:val="0"/>
      <w:autoSpaceDE w:val="0"/>
      <w:autoSpaceDN w:val="0"/>
      <w:adjustRightInd w:val="0"/>
      <w:ind w:left="2244" w:hanging="2244"/>
      <w:jc w:val="both"/>
      <w:textAlignment w:val="baseline"/>
    </w:pPr>
    <w:rPr>
      <w:sz w:val="24"/>
    </w:rPr>
  </w:style>
  <w:style w:type="paragraph" w:styleId="DocumentMap">
    <w:name w:val="Document Map"/>
    <w:basedOn w:val="Normal"/>
    <w:semiHidden/>
    <w:rsid w:val="00D634D3"/>
    <w:pPr>
      <w:shd w:val="clear" w:color="auto" w:fill="000080"/>
    </w:pPr>
    <w:rPr>
      <w:rFonts w:ascii="Tahoma" w:hAnsi="Tahoma" w:cs="Tahoma"/>
      <w:sz w:val="20"/>
    </w:rPr>
  </w:style>
  <w:style w:type="character" w:styleId="Hyperlink">
    <w:name w:val="Hyperlink"/>
    <w:rsid w:val="00D634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65AA"/>
    <w:pPr>
      <w:ind w:left="720"/>
      <w:contextualSpacing/>
    </w:pPr>
    <w:rPr>
      <w:szCs w:val="24"/>
    </w:rPr>
  </w:style>
  <w:style w:type="paragraph" w:styleId="BalloonText">
    <w:name w:val="Balloon Text"/>
    <w:basedOn w:val="Normal"/>
    <w:link w:val="BalloonTextChar"/>
    <w:rsid w:val="00A465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6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s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B-69</vt:lpstr>
    </vt:vector>
  </TitlesOfParts>
  <Company>Mission to North America</Company>
  <LinksUpToDate>false</LinksUpToDate>
  <CharactersWithSpaces>8417</CharactersWithSpaces>
  <SharedDoc>false</SharedDoc>
  <HLinks>
    <vt:vector size="12" baseType="variant">
      <vt:variant>
        <vt:i4>2555913</vt:i4>
      </vt:variant>
      <vt:variant>
        <vt:i4>3</vt:i4>
      </vt:variant>
      <vt:variant>
        <vt:i4>0</vt:i4>
      </vt:variant>
      <vt:variant>
        <vt:i4>5</vt:i4>
      </vt:variant>
      <vt:variant>
        <vt:lpwstr>mailto:events@pcanet.org</vt:lpwstr>
      </vt:variant>
      <vt:variant>
        <vt:lpwstr/>
      </vt:variant>
      <vt:variant>
        <vt:i4>5898244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http://www.pcaac.org/GeneralAssembly/hostcommitteeinformation/Reports.htm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B-69</dc:title>
  <dc:creator>Diane Hitzfeld</dc:creator>
  <cp:lastModifiedBy>Angela Nantz</cp:lastModifiedBy>
  <cp:revision>2</cp:revision>
  <cp:lastPrinted>2014-11-25T18:47:00Z</cp:lastPrinted>
  <dcterms:created xsi:type="dcterms:W3CDTF">2018-12-04T22:17:00Z</dcterms:created>
  <dcterms:modified xsi:type="dcterms:W3CDTF">2018-12-04T22:17:00Z</dcterms:modified>
</cp:coreProperties>
</file>